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ED5BA">
      <w:pPr>
        <w:autoSpaceDE w:val="0"/>
        <w:autoSpaceDN w:val="0"/>
        <w:adjustRightInd w:val="0"/>
        <w:jc w:val="center"/>
        <w:rPr>
          <w:rFonts w:ascii="Times New Roman" w:hAnsi="Times New Roman" w:eastAsia="方正小标宋简体" w:cs="方正小标宋简体"/>
          <w:kern w:val="0"/>
          <w:sz w:val="48"/>
          <w:szCs w:val="48"/>
          <w:lang w:val="zh-CN"/>
        </w:rPr>
      </w:pPr>
    </w:p>
    <w:p w14:paraId="624B9017">
      <w:pPr>
        <w:autoSpaceDE w:val="0"/>
        <w:autoSpaceDN w:val="0"/>
        <w:adjustRightInd w:val="0"/>
        <w:jc w:val="center"/>
        <w:rPr>
          <w:rFonts w:ascii="Times New Roman" w:hAnsi="Times New Roman" w:eastAsia="方正小标宋简体" w:cs="方正小标宋简体"/>
          <w:kern w:val="0"/>
          <w:sz w:val="48"/>
          <w:szCs w:val="48"/>
          <w:lang w:val="zh-CN"/>
        </w:rPr>
      </w:pPr>
    </w:p>
    <w:p w14:paraId="06F0974A">
      <w:pPr>
        <w:autoSpaceDE w:val="0"/>
        <w:autoSpaceDN w:val="0"/>
        <w:adjustRightInd w:val="0"/>
        <w:jc w:val="center"/>
        <w:rPr>
          <w:rFonts w:ascii="Times New Roman" w:hAnsi="Times New Roman" w:eastAsia="方正小标宋简体" w:cs="方正小标宋简体"/>
          <w:kern w:val="0"/>
          <w:sz w:val="48"/>
          <w:szCs w:val="48"/>
          <w:lang w:val="zh-CN"/>
        </w:rPr>
      </w:pPr>
    </w:p>
    <w:p w14:paraId="27F5217E">
      <w:pPr>
        <w:autoSpaceDE w:val="0"/>
        <w:autoSpaceDN w:val="0"/>
        <w:adjustRightInd w:val="0"/>
        <w:jc w:val="center"/>
        <w:rPr>
          <w:rFonts w:ascii="Times New Roman" w:hAnsi="Times New Roman" w:eastAsia="方正小标宋简体" w:cs="方正小标宋简体"/>
          <w:kern w:val="0"/>
          <w:sz w:val="48"/>
          <w:szCs w:val="48"/>
          <w:lang w:val="zh-CN"/>
        </w:rPr>
      </w:pPr>
    </w:p>
    <w:p w14:paraId="3C99F012">
      <w:pPr>
        <w:autoSpaceDE w:val="0"/>
        <w:autoSpaceDN w:val="0"/>
        <w:adjustRightInd w:val="0"/>
        <w:jc w:val="center"/>
        <w:rPr>
          <w:rFonts w:ascii="Times New Roman" w:hAnsi="Times New Roman" w:eastAsia="方正小标宋简体" w:cs="方正小标宋简体"/>
          <w:kern w:val="0"/>
          <w:sz w:val="48"/>
          <w:szCs w:val="48"/>
          <w:lang w:val="zh-CN"/>
        </w:rPr>
      </w:pPr>
    </w:p>
    <w:p w14:paraId="5CAEF0BE">
      <w:pPr>
        <w:autoSpaceDE w:val="0"/>
        <w:autoSpaceDN w:val="0"/>
        <w:adjustRightInd w:val="0"/>
        <w:jc w:val="center"/>
        <w:rPr>
          <w:rFonts w:ascii="Times New Roman" w:hAnsi="Times New Roman" w:eastAsia="方正小标宋简体" w:cs="方正小标宋简体"/>
          <w:kern w:val="0"/>
          <w:sz w:val="48"/>
          <w:szCs w:val="48"/>
          <w:lang w:val="zh-CN"/>
        </w:rPr>
      </w:pPr>
    </w:p>
    <w:p w14:paraId="79A256F8">
      <w:pPr>
        <w:autoSpaceDE w:val="0"/>
        <w:autoSpaceDN w:val="0"/>
        <w:adjustRightInd w:val="0"/>
        <w:jc w:val="center"/>
        <w:rPr>
          <w:rFonts w:ascii="Times New Roman" w:hAnsi="Times New Roman" w:eastAsia="方正小标宋简体" w:cs="方正小标宋简体"/>
          <w:kern w:val="0"/>
          <w:sz w:val="48"/>
          <w:szCs w:val="48"/>
          <w:lang w:val="zh-CN"/>
        </w:rPr>
      </w:pPr>
    </w:p>
    <w:p w14:paraId="2E799B39">
      <w:pPr>
        <w:autoSpaceDE w:val="0"/>
        <w:autoSpaceDN w:val="0"/>
        <w:adjustRightInd w:val="0"/>
        <w:jc w:val="center"/>
        <w:rPr>
          <w:rFonts w:ascii="Times New Roman" w:hAnsi="Times New Roman" w:eastAsia="方正小标宋简体" w:cs="方正小标宋简体"/>
          <w:kern w:val="0"/>
          <w:sz w:val="48"/>
          <w:szCs w:val="48"/>
          <w:lang w:val="zh-CN"/>
        </w:rPr>
      </w:pPr>
    </w:p>
    <w:p w14:paraId="21C94CEF">
      <w:pPr>
        <w:autoSpaceDE w:val="0"/>
        <w:autoSpaceDN w:val="0"/>
        <w:adjustRightInd w:val="0"/>
        <w:jc w:val="center"/>
        <w:rPr>
          <w:rFonts w:hint="eastAsia"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天津市集体运输事业管理中心</w:t>
      </w:r>
      <w:bookmarkStart w:id="0" w:name="_GoBack"/>
    </w:p>
    <w:bookmarkEnd w:id="0"/>
    <w:p w14:paraId="677AD8A8">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2023年度部门决算</w:t>
      </w:r>
    </w:p>
    <w:p w14:paraId="163C6EF0">
      <w:pPr>
        <w:autoSpaceDE w:val="0"/>
        <w:autoSpaceDN w:val="0"/>
        <w:adjustRightInd w:val="0"/>
        <w:spacing w:line="580" w:lineRule="exact"/>
        <w:jc w:val="center"/>
        <w:rPr>
          <w:rFonts w:ascii="Times New Roman" w:hAnsi="Times New Roman" w:eastAsia="黑体" w:cs="黑体"/>
          <w:sz w:val="30"/>
          <w:szCs w:val="30"/>
        </w:rPr>
      </w:pPr>
    </w:p>
    <w:p w14:paraId="60C8CC52">
      <w:pPr>
        <w:autoSpaceDE w:val="0"/>
        <w:autoSpaceDN w:val="0"/>
        <w:adjustRightInd w:val="0"/>
        <w:spacing w:line="580" w:lineRule="exact"/>
        <w:jc w:val="center"/>
        <w:rPr>
          <w:rFonts w:ascii="Times New Roman" w:hAnsi="Times New Roman" w:eastAsia="黑体" w:cs="黑体"/>
          <w:sz w:val="30"/>
          <w:szCs w:val="30"/>
        </w:rPr>
      </w:pPr>
    </w:p>
    <w:p w14:paraId="4F9A4FF2">
      <w:pPr>
        <w:autoSpaceDE w:val="0"/>
        <w:autoSpaceDN w:val="0"/>
        <w:adjustRightInd w:val="0"/>
        <w:spacing w:line="580" w:lineRule="exact"/>
        <w:jc w:val="center"/>
        <w:rPr>
          <w:rFonts w:ascii="Times New Roman" w:hAnsi="Times New Roman" w:eastAsia="黑体" w:cs="黑体"/>
          <w:sz w:val="30"/>
          <w:szCs w:val="30"/>
        </w:rPr>
      </w:pPr>
    </w:p>
    <w:p w14:paraId="5B2618FC">
      <w:pPr>
        <w:autoSpaceDE w:val="0"/>
        <w:autoSpaceDN w:val="0"/>
        <w:adjustRightInd w:val="0"/>
        <w:spacing w:line="580" w:lineRule="exact"/>
        <w:jc w:val="center"/>
        <w:rPr>
          <w:rFonts w:ascii="Times New Roman" w:hAnsi="Times New Roman" w:eastAsia="黑体" w:cs="黑体"/>
          <w:sz w:val="30"/>
          <w:szCs w:val="30"/>
        </w:rPr>
      </w:pPr>
    </w:p>
    <w:p w14:paraId="6996CE72">
      <w:pPr>
        <w:autoSpaceDE w:val="0"/>
        <w:autoSpaceDN w:val="0"/>
        <w:adjustRightInd w:val="0"/>
        <w:spacing w:line="580" w:lineRule="exact"/>
        <w:jc w:val="center"/>
        <w:rPr>
          <w:rFonts w:ascii="Times New Roman" w:hAnsi="Times New Roman" w:eastAsia="黑体" w:cs="黑体"/>
          <w:sz w:val="30"/>
          <w:szCs w:val="30"/>
        </w:rPr>
      </w:pPr>
    </w:p>
    <w:p w14:paraId="3AE362B7">
      <w:pPr>
        <w:autoSpaceDE w:val="0"/>
        <w:autoSpaceDN w:val="0"/>
        <w:adjustRightInd w:val="0"/>
        <w:spacing w:line="600" w:lineRule="exact"/>
        <w:jc w:val="center"/>
        <w:rPr>
          <w:rFonts w:ascii="Times New Roman" w:hAnsi="Times New Roman" w:eastAsia="黑体" w:cs="黑体"/>
          <w:kern w:val="0"/>
          <w:sz w:val="44"/>
          <w:szCs w:val="44"/>
        </w:rPr>
        <w:sectPr>
          <w:pgSz w:w="12240" w:h="15840"/>
          <w:pgMar w:top="1440" w:right="1800" w:bottom="1440" w:left="1800" w:header="720" w:footer="720" w:gutter="0"/>
          <w:cols w:space="720" w:num="1"/>
        </w:sectPr>
      </w:pPr>
    </w:p>
    <w:p w14:paraId="767FDE3B">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   录</w:t>
      </w:r>
    </w:p>
    <w:p w14:paraId="4EB963E5">
      <w:pPr>
        <w:autoSpaceDE w:val="0"/>
        <w:autoSpaceDN w:val="0"/>
        <w:adjustRightInd w:val="0"/>
        <w:spacing w:line="600" w:lineRule="exact"/>
        <w:jc w:val="left"/>
        <w:rPr>
          <w:rFonts w:ascii="Times New Roman" w:hAnsi="Times New Roman" w:eastAsia="黑体" w:cs="黑体"/>
          <w:kern w:val="0"/>
          <w:sz w:val="30"/>
          <w:szCs w:val="30"/>
        </w:rPr>
      </w:pPr>
    </w:p>
    <w:p w14:paraId="491B9E64">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第一部分  概 况</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1</w:t>
      </w:r>
    </w:p>
    <w:p w14:paraId="18B5E37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1</w:t>
      </w:r>
    </w:p>
    <w:p w14:paraId="31DA920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1</w:t>
      </w:r>
    </w:p>
    <w:p w14:paraId="589253C5">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  2023年度部门决算表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50E9768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06A3108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2844A66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087BF55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15D6505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6204FB3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3C2E966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242871B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374A95B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4368126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6C33C12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2D8B96A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3</w:t>
      </w:r>
    </w:p>
    <w:p w14:paraId="357C0433">
      <w:pPr>
        <w:tabs>
          <w:tab w:val="right" w:leader="dot" w:pos="8306"/>
        </w:tabs>
        <w:autoSpaceDE w:val="0"/>
        <w:autoSpaceDN w:val="0"/>
        <w:adjustRightInd w:val="0"/>
        <w:spacing w:line="700" w:lineRule="exact"/>
        <w:jc w:val="left"/>
        <w:rPr>
          <w:rFonts w:ascii="Times New Roman" w:hAnsi="Times New Roman" w:eastAsia="方正小标宋简体" w:cs="方正小标宋简体"/>
          <w:kern w:val="0"/>
          <w:sz w:val="30"/>
          <w:szCs w:val="30"/>
        </w:rPr>
        <w:sectPr>
          <w:footerReference r:id="rId3" w:type="default"/>
          <w:pgSz w:w="12240" w:h="15840"/>
          <w:pgMar w:top="1440" w:right="1800" w:bottom="1440" w:left="1800" w:header="720" w:footer="720" w:gutter="0"/>
          <w:pgNumType w:start="1"/>
          <w:cols w:space="720" w:num="1"/>
        </w:sectPr>
      </w:pPr>
    </w:p>
    <w:p w14:paraId="57675562">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  2023年度部门决算情况说明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4</w:t>
      </w:r>
    </w:p>
    <w:p w14:paraId="118B28E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4</w:t>
      </w:r>
    </w:p>
    <w:p w14:paraId="28604AC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4</w:t>
      </w:r>
    </w:p>
    <w:p w14:paraId="3229292B">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三、支出决算情况说明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4</w:t>
      </w:r>
    </w:p>
    <w:p w14:paraId="2DCA810A">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四、财政拨款收支决算总体情况说明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4</w:t>
      </w:r>
    </w:p>
    <w:p w14:paraId="182610D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5</w:t>
      </w:r>
    </w:p>
    <w:p w14:paraId="1627E1A3">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六、一般公共预算财政拨款基本支出决算情况说明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5</w:t>
      </w:r>
    </w:p>
    <w:p w14:paraId="69F5B450">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七、政府性基金预算财政拨款收支决算情况说明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5</w:t>
      </w:r>
    </w:p>
    <w:p w14:paraId="66302AF7">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八、国有资本经营预算财政拨款收支决算情况说明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5</w:t>
      </w:r>
    </w:p>
    <w:p w14:paraId="64E58B9D">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6</w:t>
      </w:r>
    </w:p>
    <w:p w14:paraId="512E2CA5">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十、机关运行经费支出情况说明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7</w:t>
      </w:r>
    </w:p>
    <w:p w14:paraId="330C234F">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十一、政府采购支出情况说明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7</w:t>
      </w:r>
    </w:p>
    <w:p w14:paraId="3EDD8CF2">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十二、国有资产占有使用情况说明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7</w:t>
      </w:r>
    </w:p>
    <w:p w14:paraId="15A8E166">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十三、预算绩效情况说明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7</w:t>
      </w:r>
    </w:p>
    <w:p w14:paraId="39A63AEF">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十四、教育、医疗卫生、社会保障和就业、住房保障、涉农补贴等民生支出情况说明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8</w:t>
      </w:r>
    </w:p>
    <w:p w14:paraId="61FB7357">
      <w:pPr>
        <w:tabs>
          <w:tab w:val="right" w:leader="dot" w:pos="8306"/>
        </w:tabs>
        <w:autoSpaceDE w:val="0"/>
        <w:autoSpaceDN w:val="0"/>
        <w:adjustRightInd w:val="0"/>
        <w:spacing w:line="700" w:lineRule="exact"/>
        <w:jc w:val="left"/>
        <w:rPr>
          <w:rFonts w:hint="eastAsia" w:ascii="Times New Roman" w:hAnsi="Times New Roman" w:eastAsia="方正小标宋简体" w:cs="方正小标宋简体"/>
          <w:kern w:val="0"/>
          <w:sz w:val="30"/>
          <w:szCs w:val="30"/>
          <w:lang w:val="en-US" w:eastAsia="zh-CN"/>
        </w:rPr>
      </w:pPr>
      <w:r>
        <w:rPr>
          <w:rFonts w:hint="eastAsia" w:ascii="Times New Roman" w:hAnsi="Times New Roman" w:eastAsia="方正小标宋简体" w:cs="方正小标宋简体"/>
          <w:kern w:val="0"/>
          <w:sz w:val="30"/>
          <w:szCs w:val="30"/>
        </w:rPr>
        <w:t>第四部分  名词解释</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9</w:t>
      </w:r>
    </w:p>
    <w:p w14:paraId="4862B640">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p>
    <w:p w14:paraId="4396C7FC">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sectPr>
          <w:footerReference r:id="rId4" w:type="default"/>
          <w:pgSz w:w="12240" w:h="15840"/>
          <w:pgMar w:top="1440" w:right="1800" w:bottom="1440" w:left="1800" w:header="720" w:footer="720" w:gutter="0"/>
          <w:cols w:space="720" w:num="1"/>
        </w:sectPr>
      </w:pPr>
    </w:p>
    <w:p w14:paraId="34B5A791">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  概 况</w:t>
      </w:r>
    </w:p>
    <w:p w14:paraId="59E073AE">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7C7074CA">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04DCA6D1">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为集体运输企业提供业务指导和服务，对所属集体运输企业经营范围内的集体资产实施监督、管理和资本运营，承担保值增值责任。</w:t>
      </w:r>
    </w:p>
    <w:p w14:paraId="02174E54">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06801942">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天津市集体运输事业管理中心内设4个职能处室；下辖0个预算单位。纳入天津市集体运输事业管理中心2023年度部门决算编制范围的单位包括：</w:t>
      </w:r>
    </w:p>
    <w:p w14:paraId="2917DF9F">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1.天津市集体运输事业管理中心</w:t>
      </w:r>
    </w:p>
    <w:p w14:paraId="7486C253">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5CFA03A5">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  2023年度部门决算表</w:t>
      </w:r>
    </w:p>
    <w:p w14:paraId="2A3362EE">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3A952EA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77097A1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626BDC2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59685BD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44D3969D">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374FE78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751EFC4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42FD7F9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005DB63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4E786F2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1C2A2C5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65644332">
      <w:pPr>
        <w:autoSpaceDE w:val="0"/>
        <w:autoSpaceDN w:val="0"/>
        <w:adjustRightInd w:val="0"/>
        <w:spacing w:line="600" w:lineRule="exact"/>
        <w:jc w:val="left"/>
        <w:rPr>
          <w:rFonts w:ascii="Times New Roman" w:hAnsi="Times New Roman" w:eastAsia="黑体" w:cs="黑体"/>
          <w:b/>
          <w:bCs/>
          <w:kern w:val="0"/>
          <w:sz w:val="30"/>
          <w:szCs w:val="30"/>
        </w:rPr>
      </w:pPr>
      <w:r>
        <w:rPr>
          <w:rFonts w:hint="eastAsia" w:ascii="Times New Roman" w:hAnsi="Times New Roman" w:eastAsia="楷体" w:cs="楷体"/>
          <w:kern w:val="0"/>
          <w:sz w:val="30"/>
          <w:szCs w:val="30"/>
          <w:lang w:val="en-US" w:eastAsia="zh-CN"/>
        </w:rPr>
        <w:t xml:space="preserve"> </w:t>
      </w:r>
      <w:r>
        <w:rPr>
          <w:rFonts w:ascii="Times New Roman" w:hAnsi="Times New Roman" w:eastAsia="楷体" w:cs="Times New Roman"/>
          <w:kern w:val="0"/>
          <w:sz w:val="24"/>
          <w:szCs w:val="24"/>
        </w:rPr>
        <w:br w:type="page"/>
      </w:r>
      <w:r>
        <w:rPr>
          <w:rFonts w:hint="eastAsia" w:ascii="Times New Roman" w:hAnsi="Times New Roman" w:eastAsia="黑体" w:cs="黑体"/>
          <w:b/>
          <w:bCs/>
          <w:kern w:val="0"/>
          <w:sz w:val="30"/>
          <w:szCs w:val="30"/>
        </w:rPr>
        <w:t>十二、关于空表的说明</w:t>
      </w:r>
    </w:p>
    <w:p w14:paraId="0D53A478">
      <w:pPr>
        <w:keepNext/>
        <w:keepLines/>
        <w:autoSpaceDE w:val="0"/>
        <w:autoSpaceDN w:val="0"/>
        <w:adjustRightInd w:val="0"/>
        <w:spacing w:line="600" w:lineRule="exact"/>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1.天津市集体运输事业管理中心2023年度财政拨款收入支出决算总表为空表。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2.天津市集体运输事业管理中心2023年度一般公共预算财政拨款支出决算表。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3.天津市集体运输事业管理中心2023年度一般公共预算财政拨款基本支出决算表为空表。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4.天津市集体运输事业管理中心2023年度政府性基金预算财政拨款收入支出决算表为空表。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5.天津市集体运输事业管理中心2023年度国有资本经营预算财政拨款收入支出决算表为空表。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6.天津市集体运输事业管理中心2023年度财政拨款“三公”经费支出决算表为空表。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7.天津市集体运输事业管理中心2023年度项目支出决算表为空表。</w:t>
      </w:r>
    </w:p>
    <w:p w14:paraId="639ED1A7">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p>
    <w:p w14:paraId="7FC8011E">
      <w:pPr>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br w:type="page"/>
      </w:r>
    </w:p>
    <w:p w14:paraId="5453455A">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  2023年度部门决算情况说明</w:t>
      </w:r>
    </w:p>
    <w:p w14:paraId="7E7C572B">
      <w:pPr>
        <w:autoSpaceDE w:val="0"/>
        <w:autoSpaceDN w:val="0"/>
        <w:adjustRightInd w:val="0"/>
        <w:spacing w:line="580" w:lineRule="exact"/>
        <w:ind w:firstLine="600"/>
        <w:jc w:val="left"/>
        <w:rPr>
          <w:rFonts w:ascii="Times New Roman" w:hAnsi="Times New Roman" w:eastAsia="黑体" w:cs="黑体"/>
          <w:sz w:val="30"/>
          <w:szCs w:val="30"/>
          <w:lang w:val="zh-CN"/>
        </w:rPr>
      </w:pPr>
    </w:p>
    <w:p w14:paraId="2B415E02">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1402E95E">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 w:cs="仿宋"/>
          <w:kern w:val="0"/>
          <w:sz w:val="30"/>
          <w:szCs w:val="30"/>
          <w:lang w:val="zh-CN"/>
        </w:rPr>
        <w:t>天津市集体运输事业管理中心</w:t>
      </w:r>
      <w:r>
        <w:rPr>
          <w:rFonts w:hint="eastAsia" w:ascii="Times New Roman" w:hAnsi="Times New Roman" w:eastAsia="仿宋" w:cs="Times New Roman"/>
          <w:kern w:val="0"/>
          <w:sz w:val="30"/>
          <w:szCs w:val="30"/>
          <w:lang w:val="zh-CN"/>
        </w:rPr>
        <w:t>2023</w:t>
      </w:r>
      <w:r>
        <w:rPr>
          <w:rFonts w:hint="eastAsia" w:ascii="Times New Roman" w:hAnsi="Times New Roman" w:eastAsia="仿宋_GB2312" w:cs="仿宋_GB2312"/>
          <w:kern w:val="0"/>
          <w:sz w:val="30"/>
          <w:szCs w:val="30"/>
          <w:lang w:val="zh-CN"/>
        </w:rPr>
        <w:t>年度收入、支出决算总计</w:t>
      </w:r>
      <w:r>
        <w:rPr>
          <w:rFonts w:hint="eastAsia" w:ascii="Times New Roman" w:hAnsi="Times New Roman" w:eastAsia="华文中宋"/>
          <w:sz w:val="30"/>
          <w:szCs w:val="30"/>
        </w:rPr>
        <w:t>863,802.47</w:t>
      </w:r>
      <w:r>
        <w:rPr>
          <w:rFonts w:hint="eastAsia" w:ascii="Times New Roman" w:hAnsi="Times New Roman" w:eastAsia="仿宋_GB2312" w:cs="仿宋_GB2312"/>
          <w:kern w:val="0"/>
          <w:sz w:val="30"/>
          <w:szCs w:val="30"/>
        </w:rPr>
        <w:t>元，与</w:t>
      </w:r>
      <w:r>
        <w:rPr>
          <w:rFonts w:hint="eastAsia" w:ascii="Times New Roman" w:hAnsi="Times New Roman" w:eastAsia="仿宋_GB2312" w:cs="Times New Roman"/>
          <w:kern w:val="0"/>
          <w:sz w:val="30"/>
          <w:szCs w:val="30"/>
        </w:rPr>
        <w:t>2022</w:t>
      </w:r>
      <w:r>
        <w:rPr>
          <w:rFonts w:hint="eastAsia" w:ascii="Times New Roman" w:hAnsi="Times New Roman" w:eastAsia="仿宋_GB2312" w:cs="仿宋_GB2312"/>
          <w:kern w:val="0"/>
          <w:sz w:val="30"/>
          <w:szCs w:val="30"/>
        </w:rPr>
        <w:t>年度相比，收、支总计各</w:t>
      </w:r>
      <w:r>
        <w:rPr>
          <w:rFonts w:hint="eastAsia" w:ascii="Times New Roman" w:hAnsi="Times New Roman" w:eastAsia="仿宋_GB2312" w:cs="仿宋_GB2312"/>
          <w:sz w:val="30"/>
          <w:szCs w:val="30"/>
        </w:rPr>
        <w:t>减少302,532.90</w:t>
      </w:r>
      <w:r>
        <w:rPr>
          <w:rFonts w:hint="eastAsia" w:ascii="Times New Roman" w:hAnsi="Times New Roman" w:eastAsia="仿宋_GB2312" w:cs="仿宋_GB2312"/>
          <w:kern w:val="0"/>
          <w:sz w:val="30"/>
          <w:szCs w:val="30"/>
        </w:rPr>
        <w:t>元</w:t>
      </w:r>
      <w:r>
        <w:rPr>
          <w:rFonts w:hint="eastAsia" w:ascii="Times New Roman" w:hAnsi="Times New Roman" w:eastAsia="仿宋_GB2312" w:cs="仿宋_GB2312"/>
          <w:sz w:val="30"/>
          <w:szCs w:val="30"/>
        </w:rPr>
        <w:t>，下降25.94</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：人员减少，上级拨款减少，压缩不必要开支，收支减少。</w:t>
      </w:r>
    </w:p>
    <w:p w14:paraId="2E3F9F8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0C64897C">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天津市集体运输事业管理中心</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863,802.47</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年度相比减少302,532.90元，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：人员减少，上级拨款减少。</w:t>
      </w:r>
    </w:p>
    <w:p w14:paraId="09961C77">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863,802.47元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100.0%。</w:t>
      </w:r>
    </w:p>
    <w:p w14:paraId="22B893A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275524BD">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天津市集体运输事业管理中心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年度本年支出合计863,802.47元，与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年度相比减少302,532.90元，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人员减少，上级拨款减少，压缩不必要开支。</w:t>
      </w:r>
    </w:p>
    <w:p w14:paraId="4E9F9039">
      <w:pPr>
        <w:autoSpaceDE w:val="0"/>
        <w:autoSpaceDN w:val="0"/>
        <w:adjustRightInd w:val="0"/>
        <w:spacing w:line="580" w:lineRule="exact"/>
        <w:ind w:firstLine="600"/>
        <w:jc w:val="left"/>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863,802.47元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占100.0%</w:t>
      </w:r>
      <w:r>
        <w:rPr>
          <w:rFonts w:hint="eastAsia" w:ascii="Times New Roman" w:hAnsi="Times New Roman" w:eastAsia="仿宋_GB2312" w:cs="仿宋_GB2312"/>
          <w:sz w:val="30"/>
          <w:szCs w:val="30"/>
          <w:lang w:eastAsia="zh-CN"/>
        </w:rPr>
        <w:t>。</w:t>
      </w:r>
    </w:p>
    <w:p w14:paraId="7C4E067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47B398B9">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天津市集体运输事业管理中心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0.00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年度相比，财政拨款收、支总计各持平</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本单位为自收自支单位，无财政拨款。</w:t>
      </w:r>
    </w:p>
    <w:p w14:paraId="02DB0FA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14:paraId="44AECB31">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031BF48C">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天津市集体运输事业管理中心2023年度部门决算一般公共预算财政拨款支出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计0.00元，占本年支出合计的0.0%，与2022年度相比，一般公共预算财政拨款支出持平，</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：本单位为自收自支单位，无一般公共预算财政拨款。</w:t>
      </w:r>
    </w:p>
    <w:p w14:paraId="28122053">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04CDDB2B">
      <w:pPr>
        <w:autoSpaceDE w:val="0"/>
        <w:autoSpaceDN w:val="0"/>
        <w:adjustRightInd w:val="0"/>
        <w:spacing w:line="600" w:lineRule="exact"/>
        <w:ind w:firstLine="720"/>
        <w:jc w:val="left"/>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0.00</w:t>
      </w:r>
      <w:r>
        <w:rPr>
          <w:rFonts w:hint="eastAsia" w:ascii="Times New Roman" w:hAnsi="Times New Roman" w:eastAsia="仿宋_GB2312" w:cs="仿宋_GB2312"/>
          <w:sz w:val="30"/>
          <w:szCs w:val="30"/>
        </w:rPr>
        <w:t>元</w:t>
      </w:r>
      <w:r>
        <w:rPr>
          <w:rFonts w:hint="eastAsia" w:ascii="Times New Roman" w:hAnsi="Times New Roman" w:eastAsia="仿宋_GB2312" w:cs="仿宋_GB2312"/>
          <w:sz w:val="30"/>
          <w:szCs w:val="30"/>
          <w:lang w:eastAsia="zh-CN"/>
        </w:rPr>
        <w:t>。</w:t>
      </w:r>
    </w:p>
    <w:p w14:paraId="6C36AC69">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38F03E6E">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0.00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0.00</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0.0%</w:t>
      </w:r>
      <w:r>
        <w:rPr>
          <w:rFonts w:hint="eastAsia" w:ascii="Times New Roman" w:hAnsi="Times New Roman" w:eastAsia="仿宋_GB2312" w:cs="仿宋_GB2312"/>
          <w:kern w:val="0"/>
          <w:sz w:val="30"/>
          <w:szCs w:val="30"/>
        </w:rPr>
        <w:t>。</w:t>
      </w:r>
    </w:p>
    <w:p w14:paraId="45F6970E">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2978A644">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天津市集体运输事业管理中心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0.00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年度相比持平，</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本单位为自收自支单位，无一般公共预算财政拨款基本支出。</w:t>
      </w:r>
    </w:p>
    <w:p w14:paraId="5B7D54E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72C333C0">
      <w:pPr>
        <w:autoSpaceDE w:val="0"/>
        <w:autoSpaceDN w:val="0"/>
        <w:adjustRightInd w:val="0"/>
        <w:spacing w:line="60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天津市集体运输事业管理中心2023年度无政府性基金预算财政拨款收入、支出和结转结余。</w:t>
      </w:r>
      <w:r>
        <w:rPr>
          <w:rFonts w:hint="eastAsia" w:ascii="Times New Roman" w:hAnsi="Times New Roman" w:eastAsia="仿宋_GB2312" w:cs="仿宋_GB2312"/>
          <w:sz w:val="30"/>
          <w:szCs w:val="30"/>
        </w:rPr>
        <w:tab/>
      </w:r>
    </w:p>
    <w:p w14:paraId="2D2B229B">
      <w:pPr>
        <w:numPr>
          <w:ilvl w:val="0"/>
          <w:numId w:val="1"/>
        </w:numPr>
        <w:autoSpaceDE w:val="0"/>
        <w:autoSpaceDN w:val="0"/>
        <w:adjustRightInd w:val="0"/>
        <w:spacing w:line="600" w:lineRule="exact"/>
        <w:ind w:firstLine="600"/>
        <w:jc w:val="left"/>
        <w:rPr>
          <w:rFonts w:hint="eastAsia" w:ascii="Times New Roman" w:hAnsi="Times New Roman" w:eastAsia="黑体" w:cs="黑体"/>
          <w:b/>
          <w:bCs/>
          <w:kern w:val="0"/>
          <w:sz w:val="30"/>
          <w:szCs w:val="30"/>
        </w:rPr>
      </w:pPr>
      <w:r>
        <w:rPr>
          <w:rFonts w:hint="eastAsia" w:ascii="Times New Roman" w:hAnsi="Times New Roman" w:eastAsia="黑体" w:cs="黑体"/>
          <w:b/>
          <w:bCs/>
          <w:kern w:val="0"/>
          <w:sz w:val="30"/>
          <w:szCs w:val="30"/>
        </w:rPr>
        <w:t>国有资本经营预算财政拨款收支决算情况说明</w:t>
      </w:r>
    </w:p>
    <w:p w14:paraId="63E1D8FC">
      <w:pPr>
        <w:numPr>
          <w:ilvl w:val="0"/>
          <w:numId w:val="0"/>
        </w:numPr>
        <w:autoSpaceDE w:val="0"/>
        <w:autoSpaceDN w:val="0"/>
        <w:adjustRightInd w:val="0"/>
        <w:spacing w:line="600" w:lineRule="exact"/>
        <w:ind w:firstLine="600" w:firstLineChars="2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天津市集体运输事业管理中心2023年度无国有资本经营预算财政拨款收入、支出和结转结余。</w:t>
      </w:r>
    </w:p>
    <w:p w14:paraId="4236C16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14:paraId="67A60B2B">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14:paraId="40E7FC12">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本年度未用财政拨款经费列支“三公”经费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本年度与上年度未用财政拨款经费列支“三公”经费。</w:t>
      </w:r>
    </w:p>
    <w:p w14:paraId="330E4F33">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14:paraId="616B585F">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本年度未用财政拨款经费列支因公出国（境）费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本年度与上年度均未用财政拨款经费列支因公出国（境）费。</w:t>
      </w:r>
    </w:p>
    <w:p w14:paraId="6393778B">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08E3F110">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本年度未用财政拨款经费列支公务用车购置及运行维护费</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本年度与上年度均未用财政拨款经费列支公务用车购置及运行维护费。</w:t>
      </w:r>
      <w:r>
        <w:rPr>
          <w:rFonts w:hint="eastAsia" w:ascii="Times New Roman" w:hAnsi="Times New Roman" w:eastAsia="仿宋_GB2312" w:cs="仿宋_GB2312"/>
          <w:kern w:val="0"/>
          <w:sz w:val="30"/>
          <w:szCs w:val="30"/>
          <w:highlight w:val="none"/>
        </w:rPr>
        <w:t>其中：</w:t>
      </w:r>
    </w:p>
    <w:p w14:paraId="69E5B63E">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本年度未用财政拨款经费列支公务用车运行维护费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本年度与上年度均未用财政拨款经费列支公务用车运行维护费。</w:t>
      </w:r>
    </w:p>
    <w:p w14:paraId="10573118">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277D9306">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本年度与上年度均未用财政拨款经费列支公务用车购置费。</w:t>
      </w:r>
    </w:p>
    <w:p w14:paraId="27FFCC7E">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40487F91">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本年度未用财政拨款经费列支公务接待费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本年度与上年度均未用财政拨款经费列支公务接待费。</w:t>
      </w:r>
    </w:p>
    <w:p w14:paraId="6F4F0C9B">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4EEF4C9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4DEFA19B">
      <w:pPr>
        <w:keepNext/>
        <w:keepLines/>
        <w:autoSpaceDE w:val="0"/>
        <w:autoSpaceDN w:val="0"/>
        <w:adjustRightInd w:val="0"/>
        <w:spacing w:line="600" w:lineRule="exact"/>
        <w:ind w:firstLine="602"/>
        <w:jc w:val="left"/>
        <w:outlineLvl w:val="1"/>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天津市集体运输事业管理中心2023年度无机关运行经费。</w:t>
      </w:r>
    </w:p>
    <w:p w14:paraId="1A6F2A0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eastAsia="zh-CN"/>
        </w:rPr>
        <w:t>十</w:t>
      </w:r>
      <w:r>
        <w:rPr>
          <w:rFonts w:hint="eastAsia" w:ascii="Times New Roman" w:hAnsi="Times New Roman" w:eastAsia="黑体" w:cs="黑体"/>
          <w:b/>
          <w:bCs/>
          <w:kern w:val="0"/>
          <w:sz w:val="30"/>
          <w:szCs w:val="30"/>
        </w:rPr>
        <w:t>一、政府采购支出情况说明</w:t>
      </w:r>
    </w:p>
    <w:p w14:paraId="5CD91E98">
      <w:pPr>
        <w:autoSpaceDE w:val="0"/>
        <w:autoSpaceDN w:val="0"/>
        <w:adjustRightInd w:val="0"/>
        <w:spacing w:line="600" w:lineRule="exact"/>
        <w:ind w:firstLine="600"/>
        <w:jc w:val="left"/>
        <w:rPr>
          <w:rFonts w:ascii="Times New Roman" w:hAnsi="Times New Roman" w:eastAsia="楷体" w:cs="Times New Roman"/>
          <w:kern w:val="0"/>
          <w:sz w:val="30"/>
          <w:szCs w:val="30"/>
        </w:rPr>
      </w:pPr>
      <w:r>
        <w:rPr>
          <w:rFonts w:hint="eastAsia" w:ascii="Times New Roman" w:hAnsi="Times New Roman" w:eastAsia="仿宋_GB2312" w:cs="仿宋_GB2312"/>
          <w:sz w:val="30"/>
          <w:szCs w:val="30"/>
        </w:rPr>
        <w:t>天津市集体运输事业管理中心2023年度无政府采购支出。</w:t>
      </w:r>
    </w:p>
    <w:p w14:paraId="7CCD8C3A">
      <w:pPr>
        <w:autoSpaceDE w:val="0"/>
        <w:autoSpaceDN w:val="0"/>
        <w:adjustRightInd w:val="0"/>
        <w:spacing w:line="600" w:lineRule="exact"/>
        <w:ind w:firstLine="600"/>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3B3AA9E6">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天津市集体运输事业管理中心2023年度无国有资产占有使用情况。</w:t>
      </w:r>
    </w:p>
    <w:p w14:paraId="6DBD4582">
      <w:pPr>
        <w:autoSpaceDE w:val="0"/>
        <w:autoSpaceDN w:val="0"/>
        <w:adjustRightInd w:val="0"/>
        <w:spacing w:line="600" w:lineRule="exact"/>
        <w:ind w:firstLine="600"/>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3A146DC1">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天津市集体运输事业管理中心2023年度没有项目支出，无需开展绩效自评。</w:t>
      </w:r>
    </w:p>
    <w:p w14:paraId="5C854CB9">
      <w:pPr>
        <w:autoSpaceDE w:val="0"/>
        <w:autoSpaceDN w:val="0"/>
        <w:adjustRightInd w:val="0"/>
        <w:spacing w:line="600" w:lineRule="exact"/>
        <w:ind w:firstLine="600"/>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41E4AED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天津市集体运输事业管理中心不属于乡、镇、街级单位，不涉及公开2023年度教育、医疗卫生、社会保障和就业、住房保障、涉农补贴等民生支出情况。</w:t>
      </w:r>
    </w:p>
    <w:p w14:paraId="44619FD2">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17EC9A81">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 名词解释</w:t>
      </w:r>
    </w:p>
    <w:p w14:paraId="415AA2A4">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15EA41B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C792A7B">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0D133AF4">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footerReference r:id="rId5"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562A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49F32">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10CDC">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539F2D0">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03A3CD"/>
    <w:multiLevelType w:val="singleLevel"/>
    <w:tmpl w:val="EB03A3CD"/>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VlZWUwNDYyOThkZGYyM2RhOTk2NWM1OGYyOWY4NzA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849B9"/>
    <w:rsid w:val="001A0E4F"/>
    <w:rsid w:val="001B5C3C"/>
    <w:rsid w:val="001C0399"/>
    <w:rsid w:val="001D587E"/>
    <w:rsid w:val="002124F6"/>
    <w:rsid w:val="00264B59"/>
    <w:rsid w:val="002A4997"/>
    <w:rsid w:val="002E6086"/>
    <w:rsid w:val="00302490"/>
    <w:rsid w:val="003227B2"/>
    <w:rsid w:val="0033423A"/>
    <w:rsid w:val="003536BE"/>
    <w:rsid w:val="00387A5E"/>
    <w:rsid w:val="003B25FB"/>
    <w:rsid w:val="004A482F"/>
    <w:rsid w:val="004F39BF"/>
    <w:rsid w:val="005062D7"/>
    <w:rsid w:val="005175E6"/>
    <w:rsid w:val="00525157"/>
    <w:rsid w:val="005349A2"/>
    <w:rsid w:val="00575537"/>
    <w:rsid w:val="005D1367"/>
    <w:rsid w:val="005D3F56"/>
    <w:rsid w:val="00605ACE"/>
    <w:rsid w:val="00654D17"/>
    <w:rsid w:val="006623EC"/>
    <w:rsid w:val="006A094D"/>
    <w:rsid w:val="006D2409"/>
    <w:rsid w:val="006E65DB"/>
    <w:rsid w:val="0071415E"/>
    <w:rsid w:val="00776FF3"/>
    <w:rsid w:val="0078156E"/>
    <w:rsid w:val="00781B10"/>
    <w:rsid w:val="00786E74"/>
    <w:rsid w:val="007D1285"/>
    <w:rsid w:val="007E49E1"/>
    <w:rsid w:val="007F6DA7"/>
    <w:rsid w:val="008174D5"/>
    <w:rsid w:val="00885126"/>
    <w:rsid w:val="0089698B"/>
    <w:rsid w:val="008D48A9"/>
    <w:rsid w:val="00941A30"/>
    <w:rsid w:val="00977DCC"/>
    <w:rsid w:val="009820CF"/>
    <w:rsid w:val="00982A8B"/>
    <w:rsid w:val="0099674A"/>
    <w:rsid w:val="009A7ED3"/>
    <w:rsid w:val="009D74D7"/>
    <w:rsid w:val="00A57AE7"/>
    <w:rsid w:val="00AB7335"/>
    <w:rsid w:val="00AF71AE"/>
    <w:rsid w:val="00B33C70"/>
    <w:rsid w:val="00B75228"/>
    <w:rsid w:val="00B76C01"/>
    <w:rsid w:val="00B811F1"/>
    <w:rsid w:val="00B81B9F"/>
    <w:rsid w:val="00BC763A"/>
    <w:rsid w:val="00BC7D6F"/>
    <w:rsid w:val="00BD3CAC"/>
    <w:rsid w:val="00BF697A"/>
    <w:rsid w:val="00C52E77"/>
    <w:rsid w:val="00C65A44"/>
    <w:rsid w:val="00C76AC3"/>
    <w:rsid w:val="00C83EB4"/>
    <w:rsid w:val="00D332FD"/>
    <w:rsid w:val="00D4505A"/>
    <w:rsid w:val="00D65B41"/>
    <w:rsid w:val="00DC0D16"/>
    <w:rsid w:val="00DC3234"/>
    <w:rsid w:val="00DC3CD0"/>
    <w:rsid w:val="00DD60B5"/>
    <w:rsid w:val="00E758CB"/>
    <w:rsid w:val="00E7602B"/>
    <w:rsid w:val="00E964B2"/>
    <w:rsid w:val="00EA6549"/>
    <w:rsid w:val="00F007FE"/>
    <w:rsid w:val="00F45FC3"/>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15568F"/>
    <w:rsid w:val="45984C48"/>
    <w:rsid w:val="47727F60"/>
    <w:rsid w:val="483721F1"/>
    <w:rsid w:val="485D29BF"/>
    <w:rsid w:val="49374433"/>
    <w:rsid w:val="49DA103E"/>
    <w:rsid w:val="4A2319E6"/>
    <w:rsid w:val="4A8E57CD"/>
    <w:rsid w:val="4CA13CE1"/>
    <w:rsid w:val="4CD450D8"/>
    <w:rsid w:val="4D14664A"/>
    <w:rsid w:val="4D210FC7"/>
    <w:rsid w:val="4D720D77"/>
    <w:rsid w:val="4DB9688D"/>
    <w:rsid w:val="4E06749E"/>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65D659A"/>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Char"/>
    <w:basedOn w:val="8"/>
    <w:link w:val="2"/>
    <w:qFormat/>
    <w:uiPriority w:val="99"/>
    <w:rPr>
      <w:rFonts w:ascii="方正小标宋简体" w:eastAsia="方正小标宋简体"/>
      <w:kern w:val="0"/>
      <w:sz w:val="24"/>
      <w:szCs w:val="24"/>
    </w:rPr>
  </w:style>
  <w:style w:type="character" w:customStyle="1" w:styleId="10">
    <w:name w:val="标题 2 Char"/>
    <w:basedOn w:val="8"/>
    <w:link w:val="3"/>
    <w:qFormat/>
    <w:uiPriority w:val="99"/>
    <w:rPr>
      <w:rFonts w:ascii="方正小标宋简体" w:eastAsia="方正小标宋简体"/>
      <w:kern w:val="0"/>
      <w:sz w:val="24"/>
      <w:szCs w:val="24"/>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xitongcheng</Company>
  <Pages>12</Pages>
  <Words>3407</Words>
  <Characters>3688</Characters>
  <Lines>37</Lines>
  <Paragraphs>10</Paragraphs>
  <TotalTime>1</TotalTime>
  <ScaleCrop>false</ScaleCrop>
  <LinksUpToDate>false</LinksUpToDate>
  <CharactersWithSpaces>3746</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Administrator</cp:lastModifiedBy>
  <dcterms:modified xsi:type="dcterms:W3CDTF">2024-09-05T03:44:15Z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A44E0A178634409BBBA50D5636087390_13</vt:lpwstr>
  </property>
</Properties>
</file>