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33E5E">
      <w:pPr>
        <w:autoSpaceDE w:val="0"/>
        <w:autoSpaceDN w:val="0"/>
        <w:adjustRightInd w:val="0"/>
        <w:jc w:val="center"/>
        <w:rPr>
          <w:rFonts w:ascii="Times New Roman" w:hAnsi="Times New Roman" w:eastAsia="方正小标宋简体" w:cs="方正小标宋简体"/>
          <w:kern w:val="0"/>
          <w:sz w:val="48"/>
          <w:szCs w:val="48"/>
          <w:lang w:val="zh-CN"/>
        </w:rPr>
      </w:pPr>
    </w:p>
    <w:p w14:paraId="01C5AFBE">
      <w:pPr>
        <w:autoSpaceDE w:val="0"/>
        <w:autoSpaceDN w:val="0"/>
        <w:adjustRightInd w:val="0"/>
        <w:jc w:val="center"/>
        <w:rPr>
          <w:rFonts w:ascii="Times New Roman" w:hAnsi="Times New Roman" w:eastAsia="方正小标宋简体" w:cs="方正小标宋简体"/>
          <w:kern w:val="0"/>
          <w:sz w:val="48"/>
          <w:szCs w:val="48"/>
          <w:lang w:val="zh-CN"/>
        </w:rPr>
      </w:pPr>
    </w:p>
    <w:p w14:paraId="410ECB3D">
      <w:pPr>
        <w:autoSpaceDE w:val="0"/>
        <w:autoSpaceDN w:val="0"/>
        <w:adjustRightInd w:val="0"/>
        <w:jc w:val="center"/>
        <w:rPr>
          <w:rFonts w:ascii="Times New Roman" w:hAnsi="Times New Roman" w:eastAsia="方正小标宋简体" w:cs="方正小标宋简体"/>
          <w:kern w:val="0"/>
          <w:sz w:val="48"/>
          <w:szCs w:val="48"/>
          <w:lang w:val="zh-CN"/>
        </w:rPr>
      </w:pPr>
    </w:p>
    <w:p w14:paraId="0F81FAFF">
      <w:pPr>
        <w:autoSpaceDE w:val="0"/>
        <w:autoSpaceDN w:val="0"/>
        <w:adjustRightInd w:val="0"/>
        <w:jc w:val="center"/>
        <w:rPr>
          <w:rFonts w:ascii="Times New Roman" w:hAnsi="Times New Roman" w:eastAsia="方正小标宋简体" w:cs="方正小标宋简体"/>
          <w:kern w:val="0"/>
          <w:sz w:val="48"/>
          <w:szCs w:val="48"/>
          <w:lang w:val="zh-CN"/>
        </w:rPr>
      </w:pPr>
    </w:p>
    <w:p w14:paraId="64A9A06D">
      <w:pPr>
        <w:autoSpaceDE w:val="0"/>
        <w:autoSpaceDN w:val="0"/>
        <w:adjustRightInd w:val="0"/>
        <w:jc w:val="center"/>
        <w:rPr>
          <w:rFonts w:ascii="Times New Roman" w:hAnsi="Times New Roman" w:eastAsia="方正小标宋简体" w:cs="方正小标宋简体"/>
          <w:kern w:val="0"/>
          <w:sz w:val="48"/>
          <w:szCs w:val="48"/>
          <w:lang w:val="zh-CN"/>
        </w:rPr>
      </w:pPr>
    </w:p>
    <w:p w14:paraId="22429C47">
      <w:pPr>
        <w:autoSpaceDE w:val="0"/>
        <w:autoSpaceDN w:val="0"/>
        <w:adjustRightInd w:val="0"/>
        <w:jc w:val="center"/>
        <w:rPr>
          <w:rFonts w:ascii="Times New Roman" w:hAnsi="Times New Roman" w:eastAsia="方正小标宋简体" w:cs="方正小标宋简体"/>
          <w:kern w:val="0"/>
          <w:sz w:val="48"/>
          <w:szCs w:val="48"/>
          <w:lang w:val="zh-CN"/>
        </w:rPr>
      </w:pPr>
    </w:p>
    <w:p w14:paraId="1364BF52">
      <w:pPr>
        <w:autoSpaceDE w:val="0"/>
        <w:autoSpaceDN w:val="0"/>
        <w:adjustRightInd w:val="0"/>
        <w:jc w:val="center"/>
        <w:rPr>
          <w:rFonts w:ascii="Times New Roman" w:hAnsi="Times New Roman" w:eastAsia="方正小标宋简体" w:cs="方正小标宋简体"/>
          <w:kern w:val="0"/>
          <w:sz w:val="48"/>
          <w:szCs w:val="48"/>
          <w:lang w:val="zh-CN"/>
        </w:rPr>
      </w:pPr>
    </w:p>
    <w:p w14:paraId="5638CD28">
      <w:pPr>
        <w:autoSpaceDE w:val="0"/>
        <w:autoSpaceDN w:val="0"/>
        <w:adjustRightInd w:val="0"/>
        <w:jc w:val="center"/>
        <w:rPr>
          <w:rFonts w:ascii="Times New Roman" w:hAnsi="Times New Roman" w:eastAsia="方正小标宋简体" w:cs="方正小标宋简体"/>
          <w:kern w:val="0"/>
          <w:sz w:val="48"/>
          <w:szCs w:val="48"/>
          <w:lang w:val="zh-CN"/>
        </w:rPr>
      </w:pPr>
    </w:p>
    <w:p w14:paraId="7BA749B4">
      <w:pPr>
        <w:autoSpaceDE w:val="0"/>
        <w:autoSpaceDN w:val="0"/>
        <w:adjustRightInd w:val="0"/>
        <w:jc w:val="center"/>
        <w:rPr>
          <w:rFonts w:hint="eastAsia"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天津市交通教育培训中心</w:t>
      </w:r>
    </w:p>
    <w:p w14:paraId="07099206">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2023年度部门决算</w:t>
      </w:r>
    </w:p>
    <w:p w14:paraId="51AC6E5C">
      <w:pPr>
        <w:autoSpaceDE w:val="0"/>
        <w:autoSpaceDN w:val="0"/>
        <w:adjustRightInd w:val="0"/>
        <w:spacing w:line="580" w:lineRule="exact"/>
        <w:jc w:val="center"/>
        <w:rPr>
          <w:rFonts w:ascii="Times New Roman" w:hAnsi="Times New Roman" w:eastAsia="黑体" w:cs="黑体"/>
          <w:sz w:val="30"/>
          <w:szCs w:val="30"/>
        </w:rPr>
      </w:pPr>
    </w:p>
    <w:p w14:paraId="6BA47785">
      <w:pPr>
        <w:autoSpaceDE w:val="0"/>
        <w:autoSpaceDN w:val="0"/>
        <w:adjustRightInd w:val="0"/>
        <w:spacing w:line="580" w:lineRule="exact"/>
        <w:jc w:val="center"/>
        <w:rPr>
          <w:rFonts w:ascii="Times New Roman" w:hAnsi="Times New Roman" w:eastAsia="黑体" w:cs="黑体"/>
          <w:sz w:val="30"/>
          <w:szCs w:val="30"/>
        </w:rPr>
      </w:pPr>
    </w:p>
    <w:p w14:paraId="2AA8F04B">
      <w:pPr>
        <w:autoSpaceDE w:val="0"/>
        <w:autoSpaceDN w:val="0"/>
        <w:adjustRightInd w:val="0"/>
        <w:spacing w:line="580" w:lineRule="exact"/>
        <w:jc w:val="center"/>
        <w:rPr>
          <w:rFonts w:ascii="Times New Roman" w:hAnsi="Times New Roman" w:eastAsia="黑体" w:cs="黑体"/>
          <w:sz w:val="30"/>
          <w:szCs w:val="30"/>
        </w:rPr>
      </w:pPr>
    </w:p>
    <w:p w14:paraId="387B79FF">
      <w:pPr>
        <w:autoSpaceDE w:val="0"/>
        <w:autoSpaceDN w:val="0"/>
        <w:adjustRightInd w:val="0"/>
        <w:spacing w:line="580" w:lineRule="exact"/>
        <w:jc w:val="center"/>
        <w:rPr>
          <w:rFonts w:ascii="Times New Roman" w:hAnsi="Times New Roman" w:eastAsia="黑体" w:cs="黑体"/>
          <w:sz w:val="30"/>
          <w:szCs w:val="30"/>
        </w:rPr>
      </w:pPr>
    </w:p>
    <w:p w14:paraId="6B4E0A1B">
      <w:pPr>
        <w:autoSpaceDE w:val="0"/>
        <w:autoSpaceDN w:val="0"/>
        <w:adjustRightInd w:val="0"/>
        <w:spacing w:line="580" w:lineRule="exact"/>
        <w:jc w:val="center"/>
        <w:rPr>
          <w:rFonts w:ascii="Times New Roman" w:hAnsi="Times New Roman" w:eastAsia="黑体" w:cs="黑体"/>
          <w:sz w:val="30"/>
          <w:szCs w:val="30"/>
        </w:rPr>
      </w:pPr>
    </w:p>
    <w:p w14:paraId="46B5E414">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5E4A0810">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14:paraId="1E1A4555">
      <w:pPr>
        <w:autoSpaceDE w:val="0"/>
        <w:autoSpaceDN w:val="0"/>
        <w:adjustRightInd w:val="0"/>
        <w:spacing w:line="600" w:lineRule="exact"/>
        <w:jc w:val="left"/>
        <w:rPr>
          <w:rFonts w:ascii="Times New Roman" w:hAnsi="Times New Roman" w:eastAsia="黑体" w:cs="黑体"/>
          <w:kern w:val="0"/>
          <w:sz w:val="30"/>
          <w:szCs w:val="30"/>
        </w:rPr>
      </w:pPr>
    </w:p>
    <w:p w14:paraId="4D38F5AB">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  概 况</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1</w:t>
      </w:r>
    </w:p>
    <w:p w14:paraId="51A1253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1</w:t>
      </w:r>
    </w:p>
    <w:p w14:paraId="406E76E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1</w:t>
      </w:r>
    </w:p>
    <w:p w14:paraId="78ED8F06">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  2023年度部门决算表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796CDC0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1DFFBBE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24D4679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2E52E2F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7C7B303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6C21E78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5DE082B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569AC1A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7C74621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3AFC28D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20923DE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6A15876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3</w:t>
      </w:r>
    </w:p>
    <w:p w14:paraId="09A680D8">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  2023年度部门决算情况说明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4</w:t>
      </w:r>
    </w:p>
    <w:p w14:paraId="2531673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4</w:t>
      </w:r>
    </w:p>
    <w:p w14:paraId="595276C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4</w:t>
      </w:r>
    </w:p>
    <w:p w14:paraId="024CCCB2">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三、支出决算情况说明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38271932">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四、财政拨款收支决算总体情况说明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034B9D7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5</w:t>
      </w:r>
    </w:p>
    <w:p w14:paraId="77FFBDE2">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val="en-US" w:eastAsia="zh-CN"/>
        </w:rPr>
      </w:pPr>
      <w:r>
        <w:rPr>
          <w:rFonts w:hint="eastAsia" w:ascii="Times New Roman" w:hAnsi="Times New Roman" w:eastAsia="仿宋_GB2312" w:cs="仿宋_GB2312"/>
          <w:kern w:val="0"/>
          <w:sz w:val="30"/>
          <w:szCs w:val="30"/>
        </w:rPr>
        <w:t>六、一般公共预算财政拨款基本支出决算情况说明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5</w:t>
      </w:r>
    </w:p>
    <w:p w14:paraId="574BD7FA">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七、政府性基金预算财政拨款收支决算情况说明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5</w:t>
      </w:r>
    </w:p>
    <w:p w14:paraId="1FAB87C2">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八、国有资本经营预算财政拨款收支决算情况说明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5</w:t>
      </w:r>
    </w:p>
    <w:p w14:paraId="75326FAE">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6</w:t>
      </w:r>
    </w:p>
    <w:p w14:paraId="24CFBDD2">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十、机关运行经费支出情况说明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7</w:t>
      </w:r>
    </w:p>
    <w:p w14:paraId="2094A811">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十一、政府采购支出情况说明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7</w:t>
      </w:r>
    </w:p>
    <w:p w14:paraId="71D76F78">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十二、国有资产占有使用情况说明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7</w:t>
      </w:r>
    </w:p>
    <w:p w14:paraId="727CC881">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仿宋_GB2312" w:cs="仿宋_GB2312"/>
          <w:kern w:val="0"/>
          <w:sz w:val="30"/>
          <w:szCs w:val="30"/>
        </w:rPr>
        <w:t>十三、预算绩效情况说明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8</w:t>
      </w:r>
    </w:p>
    <w:p w14:paraId="1B06BAD4">
      <w:pPr>
        <w:tabs>
          <w:tab w:val="right" w:leader="dot" w:pos="8306"/>
        </w:tabs>
        <w:autoSpaceDE w:val="0"/>
        <w:autoSpaceDN w:val="0"/>
        <w:adjustRightInd w:val="0"/>
        <w:spacing w:line="700" w:lineRule="exact"/>
        <w:ind w:left="220"/>
        <w:jc w:val="left"/>
        <w:rPr>
          <w:rFonts w:hint="eastAsia" w:ascii="Times New Roman" w:hAnsi="Times New Roman" w:eastAsia="方正小标宋简体" w:cs="方正小标宋简体"/>
          <w:kern w:val="0"/>
          <w:sz w:val="30"/>
          <w:szCs w:val="30"/>
          <w:lang w:eastAsia="zh-CN"/>
        </w:rPr>
      </w:pPr>
      <w:r>
        <w:rPr>
          <w:rFonts w:hint="eastAsia" w:ascii="Times New Roman" w:hAnsi="Times New Roman" w:eastAsia="仿宋_GB2312" w:cs="仿宋_GB2312"/>
          <w:kern w:val="0"/>
          <w:sz w:val="30"/>
          <w:szCs w:val="30"/>
        </w:rPr>
        <w:t>十四、教育、医疗卫生、社会保障和就业、住房保障、涉农补贴等民生支出情况说明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8</w:t>
      </w:r>
    </w:p>
    <w:p w14:paraId="58921F98">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lang w:eastAsia="zh-CN"/>
        </w:rPr>
      </w:pPr>
      <w:r>
        <w:rPr>
          <w:rFonts w:hint="eastAsia" w:ascii="Times New Roman" w:hAnsi="Times New Roman" w:eastAsia="方正小标宋简体" w:cs="方正小标宋简体"/>
          <w:kern w:val="0"/>
          <w:sz w:val="30"/>
          <w:szCs w:val="30"/>
        </w:rPr>
        <w:t>第四部分  名词解释</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9</w:t>
      </w:r>
    </w:p>
    <w:p w14:paraId="4D9D15D5">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p>
    <w:p w14:paraId="6D045EE8">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sectPr>
          <w:pgSz w:w="12240" w:h="15840"/>
          <w:pgMar w:top="1440" w:right="1800" w:bottom="1440" w:left="1800" w:header="720" w:footer="720" w:gutter="0"/>
          <w:cols w:space="720" w:num="1"/>
        </w:sectPr>
      </w:pPr>
    </w:p>
    <w:p w14:paraId="67A66FE6">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79CC502F">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31820E86">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0FAF0E18">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天津市交通教育培训中心成立于 1996 年，隶属于天津市交通（集团）有限公司，自收自支事业单位。业务范围为：教育教学理论、 职业教学研究、开发、培训、咨询服务，相关学历教育、继续教育、教学培训、学术交流等项业务。目前从事的业务有：道路运输从业资格危险品运输及押运员初领证培训；内河船员培训；机关事业单位驾驶员培训、会计继续教育培训、工程类职称培训及安全标准化考评工作。</w:t>
      </w:r>
    </w:p>
    <w:p w14:paraId="28A48D9B">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5326BF1C">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天津市交通教育培训中心内设6个职能处室；下辖0个预算单位。纳入天津市交通教育培训中心2023年度部门决算编制范围的单位包括：</w:t>
      </w:r>
    </w:p>
    <w:p w14:paraId="4B32AD92">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1.天津市交通教育培训中心</w:t>
      </w:r>
    </w:p>
    <w:p w14:paraId="1C5D4449">
      <w:pPr>
        <w:rPr>
          <w:rFonts w:ascii="Times New Roman" w:hAnsi="Times New Roman" w:eastAsia="黑体" w:cs="黑体"/>
          <w:sz w:val="30"/>
          <w:szCs w:val="30"/>
          <w:lang w:val="zh-CN"/>
        </w:rPr>
      </w:pPr>
      <w:bookmarkStart w:id="0" w:name="_GoBack"/>
      <w:bookmarkEnd w:id="0"/>
      <w:r>
        <w:rPr>
          <w:rFonts w:ascii="Times New Roman" w:hAnsi="Times New Roman" w:eastAsia="黑体" w:cs="黑体"/>
          <w:sz w:val="30"/>
          <w:szCs w:val="30"/>
          <w:lang w:val="zh-CN"/>
        </w:rPr>
        <w:br w:type="page"/>
      </w:r>
    </w:p>
    <w:p w14:paraId="020438CA">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265BD917">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5E03E42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2285A33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158D75D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0D89A26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1B3ED82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7DEBA2E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7808DC6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124A1AB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2D63B17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15799B0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07FFF88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6CEB2ACA">
      <w:pPr>
        <w:autoSpaceDE w:val="0"/>
        <w:autoSpaceDN w:val="0"/>
        <w:adjustRightInd w:val="0"/>
        <w:spacing w:line="800" w:lineRule="exact"/>
        <w:jc w:val="left"/>
        <w:rPr>
          <w:rFonts w:hint="eastAsia" w:ascii="Times New Roman" w:hAnsi="Times New Roman" w:eastAsia="楷体" w:cs="楷体"/>
          <w:kern w:val="0"/>
          <w:sz w:val="30"/>
          <w:szCs w:val="30"/>
          <w:lang w:eastAsia="zh-CN"/>
        </w:rPr>
      </w:pPr>
      <w:r>
        <w:rPr>
          <w:rFonts w:hint="eastAsia" w:ascii="Times New Roman" w:hAnsi="Times New Roman" w:eastAsia="楷体" w:cs="楷体"/>
          <w:kern w:val="0"/>
          <w:sz w:val="30"/>
          <w:szCs w:val="30"/>
          <w:lang w:val="en-US" w:eastAsia="zh-CN"/>
        </w:rPr>
        <w:t xml:space="preserve"> </w:t>
      </w:r>
    </w:p>
    <w:p w14:paraId="2DACA8B9">
      <w:pPr>
        <w:autoSpaceDE w:val="0"/>
        <w:autoSpaceDN w:val="0"/>
        <w:adjustRightInd w:val="0"/>
        <w:spacing w:line="600" w:lineRule="exact"/>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7FB10806">
      <w:pPr>
        <w:keepNext/>
        <w:keepLines/>
        <w:autoSpaceDE w:val="0"/>
        <w:autoSpaceDN w:val="0"/>
        <w:adjustRightInd w:val="0"/>
        <w:spacing w:line="600" w:lineRule="exact"/>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1.天津市交通教育培训中心2023年度财政拨款收入支出决算总表为空表。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2.天津市交通教育培训中心2023年度一般公共预算财政拨款支出决算表。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3.天津市交通教育培训中心2023年度一般公共预算财政拨款基本支出决算表为空表。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4.天津市交通教育培训中心2023年度政府性基金预算财政拨款收入支出决算表为空表。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5.天津市交通教育培训中心2023年度国有资本经营预算财政拨款收入支出决算表为空表。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6.天津市交通教育培训中心2023年度财政拨款“三公”经费支出决算表为空表。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7.天津市交通教育培训中心2023年度项目支出决算表为空表。</w:t>
      </w:r>
    </w:p>
    <w:p w14:paraId="4135DE01">
      <w:pPr>
        <w:widowControl/>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br w:type="page"/>
      </w:r>
    </w:p>
    <w:p w14:paraId="723F1977">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p>
    <w:p w14:paraId="6331C7F1">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4EB17A5B">
      <w:pPr>
        <w:autoSpaceDE w:val="0"/>
        <w:autoSpaceDN w:val="0"/>
        <w:adjustRightInd w:val="0"/>
        <w:spacing w:line="580" w:lineRule="exact"/>
        <w:ind w:firstLine="600"/>
        <w:jc w:val="left"/>
        <w:rPr>
          <w:rFonts w:ascii="Times New Roman" w:hAnsi="Times New Roman" w:eastAsia="黑体" w:cs="黑体"/>
          <w:sz w:val="30"/>
          <w:szCs w:val="30"/>
          <w:lang w:val="zh-CN"/>
        </w:rPr>
      </w:pPr>
    </w:p>
    <w:p w14:paraId="68DDA14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2DBEF2B2">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 w:cs="仿宋"/>
          <w:kern w:val="0"/>
          <w:sz w:val="30"/>
          <w:szCs w:val="30"/>
          <w:lang w:val="zh-CN"/>
        </w:rPr>
        <w:t>天津市交通教育培训中心</w:t>
      </w:r>
      <w:r>
        <w:rPr>
          <w:rFonts w:hint="eastAsia" w:ascii="Times New Roman" w:hAnsi="Times New Roman" w:eastAsia="仿宋" w:cs="Times New Roman"/>
          <w:kern w:val="0"/>
          <w:sz w:val="30"/>
          <w:szCs w:val="30"/>
          <w:lang w:val="zh-CN"/>
        </w:rPr>
        <w:t>2023</w:t>
      </w:r>
      <w:r>
        <w:rPr>
          <w:rFonts w:hint="eastAsia" w:ascii="Times New Roman" w:hAnsi="Times New Roman" w:eastAsia="仿宋_GB2312" w:cs="仿宋_GB2312"/>
          <w:kern w:val="0"/>
          <w:sz w:val="30"/>
          <w:szCs w:val="30"/>
          <w:lang w:val="zh-CN"/>
        </w:rPr>
        <w:t>年度收入、支出决算总计</w:t>
      </w:r>
      <w:r>
        <w:rPr>
          <w:rFonts w:hint="eastAsia" w:ascii="Times New Roman" w:hAnsi="Times New Roman" w:eastAsia="华文中宋"/>
          <w:sz w:val="30"/>
          <w:szCs w:val="30"/>
        </w:rPr>
        <w:t>4,490,670.51</w:t>
      </w:r>
      <w:r>
        <w:rPr>
          <w:rFonts w:hint="eastAsia" w:ascii="Times New Roman" w:hAnsi="Times New Roman" w:eastAsia="仿宋_GB2312" w:cs="仿宋_GB2312"/>
          <w:kern w:val="0"/>
          <w:sz w:val="30"/>
          <w:szCs w:val="30"/>
        </w:rPr>
        <w:t>元，与</w:t>
      </w:r>
      <w:r>
        <w:rPr>
          <w:rFonts w:hint="eastAsia" w:ascii="Times New Roman" w:hAnsi="Times New Roman" w:eastAsia="仿宋_GB2312" w:cs="Times New Roman"/>
          <w:kern w:val="0"/>
          <w:sz w:val="30"/>
          <w:szCs w:val="30"/>
        </w:rPr>
        <w:t>2022</w:t>
      </w:r>
      <w:r>
        <w:rPr>
          <w:rFonts w:hint="eastAsia" w:ascii="Times New Roman" w:hAnsi="Times New Roman" w:eastAsia="仿宋_GB2312" w:cs="仿宋_GB2312"/>
          <w:kern w:val="0"/>
          <w:sz w:val="30"/>
          <w:szCs w:val="30"/>
        </w:rPr>
        <w:t>年度相比，收、支总计各</w:t>
      </w:r>
      <w:r>
        <w:rPr>
          <w:rFonts w:hint="eastAsia" w:ascii="Times New Roman" w:hAnsi="Times New Roman" w:eastAsia="仿宋_GB2312" w:cs="仿宋_GB2312"/>
          <w:sz w:val="30"/>
          <w:szCs w:val="30"/>
        </w:rPr>
        <w:t>增加334,368.31</w:t>
      </w:r>
      <w:r>
        <w:rPr>
          <w:rFonts w:hint="eastAsia" w:ascii="Times New Roman" w:hAnsi="Times New Roman" w:eastAsia="仿宋_GB2312" w:cs="仿宋_GB2312"/>
          <w:kern w:val="0"/>
          <w:sz w:val="30"/>
          <w:szCs w:val="30"/>
        </w:rPr>
        <w:t>元</w:t>
      </w:r>
      <w:r>
        <w:rPr>
          <w:rFonts w:hint="eastAsia" w:ascii="Times New Roman" w:hAnsi="Times New Roman" w:eastAsia="仿宋_GB2312" w:cs="仿宋_GB2312"/>
          <w:sz w:val="30"/>
          <w:szCs w:val="30"/>
        </w:rPr>
        <w:t>，增长8.04</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：业务增多，收入增加，所需开支增加。</w:t>
      </w:r>
    </w:p>
    <w:p w14:paraId="3E1ED2C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5FB39317">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天津市交通教育培训中心</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4,316,737.95</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年度相比增加160,435.75元，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：业务增多，收入增加。</w:t>
      </w:r>
    </w:p>
    <w:p w14:paraId="00B1AB78">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3,192,781.22元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73.96%；</w:t>
      </w:r>
    </w:p>
    <w:p w14:paraId="01B64CAE">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1,123,956.73元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26.04%。</w:t>
      </w:r>
    </w:p>
    <w:p w14:paraId="08FA6B1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0E81BB72">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天津市交通教育培训中心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年度本年支出合计3,862,160.37元，与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年度相比减少650,751.96元，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业务增多，收入增加，所需开支增加。</w:t>
      </w:r>
    </w:p>
    <w:p w14:paraId="60882F3F">
      <w:pPr>
        <w:autoSpaceDE w:val="0"/>
        <w:autoSpaceDN w:val="0"/>
        <w:adjustRightInd w:val="0"/>
        <w:spacing w:line="580" w:lineRule="exact"/>
        <w:ind w:firstLine="600"/>
        <w:jc w:val="left"/>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3,862,160.37元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占100.0%</w:t>
      </w:r>
      <w:r>
        <w:rPr>
          <w:rFonts w:hint="eastAsia" w:ascii="Times New Roman" w:hAnsi="Times New Roman" w:eastAsia="仿宋_GB2312" w:cs="仿宋_GB2312"/>
          <w:sz w:val="30"/>
          <w:szCs w:val="30"/>
          <w:lang w:eastAsia="zh-CN"/>
        </w:rPr>
        <w:t>。</w:t>
      </w:r>
    </w:p>
    <w:p w14:paraId="13D74BF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01BB0E47">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天津市交通教育培训中心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0.00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年度相比，财政拨款收、支总计持平，</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本单位为自收自支单位，无财政拨款。</w:t>
      </w:r>
    </w:p>
    <w:p w14:paraId="70C07B9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72A96B06">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24AD6A2D">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天津市交通教育培训中心2023年度部门决算一般公共预算财政拨款支出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计0.00元，占本年支出合计的0.0%，与2022年度相比，一般公共预算财政拨款支出持平，</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：本单位为自收自支单位，无一般公共预算财政拨款。</w:t>
      </w:r>
    </w:p>
    <w:p w14:paraId="20CA2A7F">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667A5781">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0.00</w:t>
      </w:r>
      <w:r>
        <w:rPr>
          <w:rFonts w:hint="eastAsia" w:ascii="Times New Roman" w:hAnsi="Times New Roman" w:eastAsia="仿宋_GB2312" w:cs="仿宋_GB2312"/>
          <w:sz w:val="30"/>
          <w:szCs w:val="30"/>
        </w:rPr>
        <w:t>元。</w:t>
      </w:r>
    </w:p>
    <w:p w14:paraId="57414675">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0EE29BCC">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0.0%</w:t>
      </w:r>
      <w:r>
        <w:rPr>
          <w:rFonts w:hint="eastAsia" w:ascii="Times New Roman" w:hAnsi="Times New Roman" w:eastAsia="仿宋_GB2312" w:cs="仿宋_GB2312"/>
          <w:kern w:val="0"/>
          <w:sz w:val="30"/>
          <w:szCs w:val="30"/>
        </w:rPr>
        <w:t>。</w:t>
      </w:r>
    </w:p>
    <w:p w14:paraId="38D6EE4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16D3731B">
      <w:pPr>
        <w:autoSpaceDE w:val="0"/>
        <w:autoSpaceDN w:val="0"/>
        <w:adjustRightInd w:val="0"/>
        <w:spacing w:line="600" w:lineRule="exact"/>
        <w:ind w:firstLine="72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天津市交通教育培训中心</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0.00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年度相比持平，</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本单位为自收自支单位，无一般公共预算财政拨款基本支出。</w:t>
      </w:r>
    </w:p>
    <w:p w14:paraId="0337896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687584C1">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天津市交通教育培训中心2023年度无政府性基金预算财政拨款收入、支出和结转结余。</w:t>
      </w:r>
      <w:r>
        <w:rPr>
          <w:rFonts w:hint="eastAsia" w:ascii="Times New Roman" w:hAnsi="Times New Roman" w:eastAsia="仿宋_GB2312" w:cs="仿宋_GB2312"/>
          <w:sz w:val="30"/>
          <w:szCs w:val="30"/>
        </w:rPr>
        <w:tab/>
      </w:r>
    </w:p>
    <w:p w14:paraId="3090ACD7">
      <w:pPr>
        <w:numPr>
          <w:ilvl w:val="0"/>
          <w:numId w:val="1"/>
        </w:numPr>
        <w:autoSpaceDE w:val="0"/>
        <w:autoSpaceDN w:val="0"/>
        <w:adjustRightInd w:val="0"/>
        <w:spacing w:line="600" w:lineRule="exact"/>
        <w:ind w:firstLine="600"/>
        <w:jc w:val="left"/>
        <w:rPr>
          <w:rFonts w:hint="eastAsia" w:ascii="Times New Roman" w:hAnsi="Times New Roman" w:eastAsia="黑体" w:cs="黑体"/>
          <w:b/>
          <w:bCs/>
          <w:kern w:val="0"/>
          <w:sz w:val="30"/>
          <w:szCs w:val="30"/>
        </w:rPr>
      </w:pPr>
      <w:r>
        <w:rPr>
          <w:rFonts w:hint="eastAsia" w:ascii="Times New Roman" w:hAnsi="Times New Roman" w:eastAsia="黑体" w:cs="黑体"/>
          <w:b/>
          <w:bCs/>
          <w:kern w:val="0"/>
          <w:sz w:val="30"/>
          <w:szCs w:val="30"/>
        </w:rPr>
        <w:t>国有资本经营预算财政拨款收支决算情况说明</w:t>
      </w:r>
    </w:p>
    <w:p w14:paraId="404AD0F4">
      <w:pPr>
        <w:numPr>
          <w:numId w:val="0"/>
        </w:numPr>
        <w:autoSpaceDE w:val="0"/>
        <w:autoSpaceDN w:val="0"/>
        <w:adjustRightInd w:val="0"/>
        <w:spacing w:line="600" w:lineRule="exact"/>
        <w:ind w:firstLine="600" w:firstLineChars="2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天津市交通教育培训中心2023年度无国有资本经营预算财政拨款收入、支出和结转结余。</w:t>
      </w:r>
    </w:p>
    <w:p w14:paraId="4236C16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67A60B2B">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40E7FC12">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本年度未用财政拨款经费列支“三公”经费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本年度与上年度未用财政拨款经费列支“三公”经费。</w:t>
      </w:r>
    </w:p>
    <w:p w14:paraId="330E4F33">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616B585F">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本年度与上年度均未用财政拨款经费列支因公出国（境）费。</w:t>
      </w:r>
    </w:p>
    <w:p w14:paraId="6393778B">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08E3F110">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本年度未用财政拨款经费列支公务用车购置及运行维护费</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本年度与上年度均未用财政拨款经费列支公务用车购置及运行维护费。</w:t>
      </w:r>
      <w:r>
        <w:rPr>
          <w:rFonts w:hint="eastAsia" w:ascii="Times New Roman" w:hAnsi="Times New Roman" w:eastAsia="仿宋_GB2312" w:cs="仿宋_GB2312"/>
          <w:kern w:val="0"/>
          <w:sz w:val="30"/>
          <w:szCs w:val="30"/>
          <w:highlight w:val="none"/>
        </w:rPr>
        <w:t>其中：</w:t>
      </w:r>
    </w:p>
    <w:p w14:paraId="69E5B63E">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本年度与上年度均未用财政拨款经费列支公务用车运行维护费。</w:t>
      </w:r>
    </w:p>
    <w:p w14:paraId="10573118">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277D9306">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本年度与上年度均未用财政拨款经费列支公务用车购置费。</w:t>
      </w:r>
    </w:p>
    <w:p w14:paraId="27FFCC7E">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40487F91">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本年度与上年度均未用财政拨款经费列支公务接待费。</w:t>
      </w:r>
    </w:p>
    <w:p w14:paraId="6F4F0C9B">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0789274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41818902">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天津市交通教育培训中心2023年度无机关运行经费。</w:t>
      </w:r>
    </w:p>
    <w:p w14:paraId="589648DE">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5C8A9FE7">
      <w:pPr>
        <w:autoSpaceDE w:val="0"/>
        <w:autoSpaceDN w:val="0"/>
        <w:adjustRightInd w:val="0"/>
        <w:spacing w:line="600" w:lineRule="exact"/>
        <w:ind w:firstLine="600"/>
        <w:jc w:val="left"/>
        <w:rPr>
          <w:rFonts w:ascii="Times New Roman" w:hAnsi="Times New Roman" w:eastAsia="楷体" w:cs="Times New Roman"/>
          <w:kern w:val="0"/>
          <w:sz w:val="30"/>
          <w:szCs w:val="30"/>
        </w:rPr>
      </w:pPr>
      <w:r>
        <w:rPr>
          <w:rFonts w:hint="eastAsia" w:ascii="Times New Roman" w:hAnsi="Times New Roman" w:eastAsia="仿宋_GB2312" w:cs="仿宋_GB2312"/>
          <w:sz w:val="30"/>
          <w:szCs w:val="30"/>
        </w:rPr>
        <w:t>天津市交通教育培训中心2023年度无政府采购支出。</w:t>
      </w:r>
    </w:p>
    <w:p w14:paraId="53ED405E">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6AE248DA">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rPr>
      </w:pPr>
      <w:r>
        <w:rPr>
          <w:rFonts w:hint="eastAsia" w:ascii="Times New Roman" w:hAnsi="Times New Roman" w:eastAsia="仿宋_GB2312" w:cs="仿宋_GB2312"/>
          <w:color w:val="000000"/>
          <w:kern w:val="0"/>
          <w:sz w:val="30"/>
          <w:szCs w:val="30"/>
        </w:rPr>
        <w:t>截至</w:t>
      </w:r>
      <w:r>
        <w:rPr>
          <w:rFonts w:ascii="Times New Roman" w:hAnsi="Times New Roman" w:eastAsia="宋体" w:cs="宋体"/>
          <w:color w:val="000000"/>
          <w:kern w:val="0"/>
          <w:sz w:val="30"/>
          <w:szCs w:val="30"/>
        </w:rPr>
        <w:t>202</w:t>
      </w:r>
      <w:r>
        <w:rPr>
          <w:rFonts w:hint="eastAsia" w:ascii="Times New Roman" w:hAnsi="Times New Roman" w:eastAsia="宋体" w:cs="宋体"/>
          <w:color w:val="000000"/>
          <w:kern w:val="0"/>
          <w:sz w:val="30"/>
          <w:szCs w:val="30"/>
        </w:rPr>
        <w:t>3</w:t>
      </w:r>
      <w:r>
        <w:rPr>
          <w:rFonts w:hint="eastAsia" w:ascii="Times New Roman" w:hAnsi="Times New Roman" w:eastAsia="仿宋_GB2312" w:cs="仿宋_GB2312"/>
          <w:color w:val="000000"/>
          <w:kern w:val="0"/>
          <w:sz w:val="30"/>
          <w:szCs w:val="30"/>
        </w:rPr>
        <w:t>年</w:t>
      </w:r>
      <w:r>
        <w:rPr>
          <w:rFonts w:ascii="Times New Roman" w:hAnsi="Times New Roman" w:eastAsia="仿宋_GB2312" w:cs="Times New Roman"/>
          <w:color w:val="000000"/>
          <w:kern w:val="0"/>
          <w:sz w:val="30"/>
          <w:szCs w:val="30"/>
        </w:rPr>
        <w:t>12</w:t>
      </w:r>
      <w:r>
        <w:rPr>
          <w:rFonts w:hint="eastAsia" w:ascii="Times New Roman" w:hAnsi="Times New Roman" w:eastAsia="仿宋_GB2312" w:cs="仿宋_GB2312"/>
          <w:color w:val="000000"/>
          <w:kern w:val="0"/>
          <w:sz w:val="30"/>
          <w:szCs w:val="30"/>
        </w:rPr>
        <w:t>月</w:t>
      </w:r>
      <w:r>
        <w:rPr>
          <w:rFonts w:ascii="Times New Roman" w:hAnsi="Times New Roman" w:eastAsia="仿宋_GB2312" w:cs="Times New Roman"/>
          <w:color w:val="000000"/>
          <w:kern w:val="0"/>
          <w:sz w:val="30"/>
          <w:szCs w:val="30"/>
        </w:rPr>
        <w:t>31</w:t>
      </w:r>
      <w:r>
        <w:rPr>
          <w:rFonts w:hint="eastAsia" w:ascii="Times New Roman" w:hAnsi="Times New Roman" w:eastAsia="仿宋_GB2312" w:cs="仿宋_GB2312"/>
          <w:color w:val="000000"/>
          <w:kern w:val="0"/>
          <w:sz w:val="30"/>
          <w:szCs w:val="30"/>
        </w:rPr>
        <w:t>日，天津市交通教育培训中心共有车辆</w:t>
      </w:r>
      <w:r>
        <w:rPr>
          <w:rFonts w:hint="eastAsia" w:ascii="Times New Roman" w:hAnsi="Times New Roman" w:eastAsia="仿宋_GB2312" w:cs="Times New Roman"/>
          <w:kern w:val="0"/>
          <w:sz w:val="30"/>
          <w:szCs w:val="30"/>
        </w:rPr>
        <w:t>3</w:t>
      </w:r>
      <w:r>
        <w:rPr>
          <w:rFonts w:hint="eastAsia" w:ascii="Times New Roman" w:hAnsi="Times New Roman" w:eastAsia="仿宋_GB2312" w:cs="仿宋_GB2312"/>
          <w:color w:val="000000"/>
          <w:kern w:val="0"/>
          <w:sz w:val="30"/>
          <w:szCs w:val="30"/>
        </w:rPr>
        <w:t>辆，其中：</w:t>
      </w:r>
      <w:r>
        <w:rPr>
          <w:rFonts w:ascii="Times New Roman" w:hAnsi="Times New Roman" w:eastAsia="仿宋_GB2312" w:cs="Times New Roman"/>
          <w:kern w:val="0"/>
          <w:sz w:val="30"/>
          <w:szCs w:val="30"/>
        </w:rPr>
        <w:t>副部（省）级及以上领导用车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主要</w:t>
      </w:r>
      <w:r>
        <w:rPr>
          <w:rFonts w:hint="eastAsia" w:ascii="Times New Roman" w:hAnsi="Times New Roman" w:eastAsia="仿宋_GB2312" w:cs="Times New Roman"/>
          <w:kern w:val="0"/>
          <w:sz w:val="30"/>
          <w:szCs w:val="30"/>
        </w:rPr>
        <w:t>负责人</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机要通信用车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应急保障用车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执法执勤用车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特种专业技术用车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离退休干部</w:t>
      </w:r>
      <w:r>
        <w:rPr>
          <w:rFonts w:hint="eastAsia" w:ascii="Times New Roman" w:hAnsi="Times New Roman" w:eastAsia="仿宋_GB2312" w:cs="Times New Roman"/>
          <w:kern w:val="0"/>
          <w:sz w:val="30"/>
          <w:szCs w:val="30"/>
        </w:rPr>
        <w:t>服务</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其他用车</w:t>
      </w:r>
      <w:r>
        <w:rPr>
          <w:rFonts w:hint="eastAsia" w:ascii="Times New Roman" w:hAnsi="Times New Roman" w:eastAsia="仿宋_GB2312" w:cs="Times New Roman"/>
          <w:kern w:val="0"/>
          <w:sz w:val="30"/>
          <w:szCs w:val="30"/>
        </w:rPr>
        <w:t>3</w:t>
      </w:r>
      <w:r>
        <w:rPr>
          <w:rFonts w:ascii="Times New Roman" w:hAnsi="Times New Roman" w:eastAsia="仿宋_GB2312" w:cs="Times New Roman"/>
          <w:kern w:val="0"/>
          <w:sz w:val="30"/>
          <w:szCs w:val="30"/>
        </w:rPr>
        <w:t>辆</w:t>
      </w:r>
      <w:r>
        <w:rPr>
          <w:rFonts w:hint="eastAsia" w:ascii="Times New Roman" w:hAnsi="Times New Roman" w:eastAsia="仿宋_GB2312" w:cs="Times New Roman"/>
          <w:kern w:val="0"/>
          <w:sz w:val="30"/>
          <w:szCs w:val="30"/>
        </w:rPr>
        <w:t>，其他用车主要包括</w:t>
      </w:r>
      <w:r>
        <w:rPr>
          <w:rFonts w:hint="eastAsia" w:ascii="Times New Roman" w:hAnsi="Times New Roman" w:eastAsia="仿宋_GB2312" w:cs="仿宋_GB2312"/>
          <w:sz w:val="30"/>
          <w:szCs w:val="30"/>
        </w:rPr>
        <w:t>公务用车。</w:t>
      </w:r>
      <w:r>
        <w:rPr>
          <w:rFonts w:hint="eastAsia" w:ascii="Times New Roman" w:hAnsi="Times New Roman" w:eastAsia="仿宋_GB2312" w:cs="仿宋_GB2312"/>
          <w:kern w:val="0"/>
          <w:sz w:val="30"/>
          <w:szCs w:val="30"/>
        </w:rPr>
        <w:t>单价</w:t>
      </w:r>
      <w:r>
        <w:rPr>
          <w:rFonts w:ascii="Times New Roman" w:hAnsi="Times New Roman" w:eastAsia="仿宋_GB2312" w:cs="仿宋_GB2312"/>
          <w:kern w:val="0"/>
          <w:sz w:val="30"/>
          <w:szCs w:val="30"/>
        </w:rPr>
        <w:t>100</w:t>
      </w:r>
      <w:r>
        <w:rPr>
          <w:rFonts w:hint="eastAsia" w:ascii="Times New Roman" w:hAnsi="Times New Roman" w:eastAsia="仿宋_GB2312" w:cs="仿宋_GB2312"/>
          <w:kern w:val="0"/>
          <w:sz w:val="30"/>
          <w:szCs w:val="30"/>
        </w:rPr>
        <w:t>万元以上的设备</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台（套）。</w:t>
      </w:r>
    </w:p>
    <w:p w14:paraId="68DC3345">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70022C3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天津市交通教育培训中心2023年度没有项目支出，无需开展绩效自评。</w:t>
      </w:r>
    </w:p>
    <w:p w14:paraId="4E2869DB">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5E45F25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天津市交通教育培训中心不属于乡、镇、街级单位，不涉及公开2023年度教育、医疗卫生、社会保障和就业、住房保障、涉农补贴等民生支出情况。</w:t>
      </w:r>
    </w:p>
    <w:p w14:paraId="530210FF">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7224DBBE">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w:t>
      </w:r>
      <w:r>
        <w:rPr>
          <w:rFonts w:hint="eastAsia" w:ascii="Times New Roman" w:hAnsi="Times New Roman" w:eastAsia="方正小标宋简体" w:cs="方正小标宋简体"/>
          <w:kern w:val="44"/>
          <w:sz w:val="44"/>
          <w:szCs w:val="44"/>
          <w:lang w:val="en-US" w:eastAsia="zh-CN"/>
        </w:rPr>
        <w:t xml:space="preserve">  </w:t>
      </w:r>
      <w:r>
        <w:rPr>
          <w:rFonts w:hint="eastAsia" w:ascii="Times New Roman" w:hAnsi="Times New Roman" w:eastAsia="方正小标宋简体" w:cs="方正小标宋简体"/>
          <w:kern w:val="44"/>
          <w:sz w:val="44"/>
          <w:szCs w:val="44"/>
        </w:rPr>
        <w:t>名词解释</w:t>
      </w:r>
    </w:p>
    <w:p w14:paraId="56E584C2">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4EF4F74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1BEBA96">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62CAFE5A">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footerReference r:id="rId3"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E26A">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14:paraId="674C0711">
                <w:pPr>
                  <w:pStyle w:val="5"/>
                </w:pPr>
                <w:r>
                  <w:fldChar w:fldCharType="begin"/>
                </w:r>
                <w:r>
                  <w:instrText xml:space="preserve"> PAGE  \* MERGEFORMAT </w:instrText>
                </w:r>
                <w:r>
                  <w:fldChar w:fldCharType="separate"/>
                </w:r>
                <w:r>
                  <w:t>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78D37"/>
    <w:multiLevelType w:val="singleLevel"/>
    <w:tmpl w:val="7E978D37"/>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VlZWUwNDYyOThkZGYyM2RhOTk2NWM1OGYyOWY4NzAifQ=="/>
  </w:docVars>
  <w:rsids>
    <w:rsidRoot w:val="006A094D"/>
    <w:rsid w:val="00013A12"/>
    <w:rsid w:val="0002687D"/>
    <w:rsid w:val="00047C6F"/>
    <w:rsid w:val="000528EE"/>
    <w:rsid w:val="000719FD"/>
    <w:rsid w:val="000B5C71"/>
    <w:rsid w:val="000C2D5D"/>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3439A"/>
    <w:rsid w:val="004A482F"/>
    <w:rsid w:val="004F39BF"/>
    <w:rsid w:val="005062D7"/>
    <w:rsid w:val="005175E6"/>
    <w:rsid w:val="00525157"/>
    <w:rsid w:val="005349A2"/>
    <w:rsid w:val="00575537"/>
    <w:rsid w:val="00594E03"/>
    <w:rsid w:val="005D1367"/>
    <w:rsid w:val="005D3F56"/>
    <w:rsid w:val="00654D17"/>
    <w:rsid w:val="006623EC"/>
    <w:rsid w:val="006A094D"/>
    <w:rsid w:val="006D2409"/>
    <w:rsid w:val="006E65DB"/>
    <w:rsid w:val="00776FF3"/>
    <w:rsid w:val="0078156E"/>
    <w:rsid w:val="00786E74"/>
    <w:rsid w:val="007D1285"/>
    <w:rsid w:val="007D30E1"/>
    <w:rsid w:val="007E49E1"/>
    <w:rsid w:val="007F1654"/>
    <w:rsid w:val="007F6DA7"/>
    <w:rsid w:val="008174D5"/>
    <w:rsid w:val="00885126"/>
    <w:rsid w:val="0089698B"/>
    <w:rsid w:val="008D48A9"/>
    <w:rsid w:val="00941A30"/>
    <w:rsid w:val="00977DCC"/>
    <w:rsid w:val="009820CF"/>
    <w:rsid w:val="00982A8B"/>
    <w:rsid w:val="009A7ED3"/>
    <w:rsid w:val="009D74D7"/>
    <w:rsid w:val="00A57AE7"/>
    <w:rsid w:val="00AF71AE"/>
    <w:rsid w:val="00B043C4"/>
    <w:rsid w:val="00B33C70"/>
    <w:rsid w:val="00B75228"/>
    <w:rsid w:val="00B811F1"/>
    <w:rsid w:val="00B81B9F"/>
    <w:rsid w:val="00BC763A"/>
    <w:rsid w:val="00BC7D6F"/>
    <w:rsid w:val="00BD3CAC"/>
    <w:rsid w:val="00BF697A"/>
    <w:rsid w:val="00C52E77"/>
    <w:rsid w:val="00C65A44"/>
    <w:rsid w:val="00C76AC3"/>
    <w:rsid w:val="00C83EB4"/>
    <w:rsid w:val="00D237DF"/>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C42B69"/>
    <w:rsid w:val="0FF22FB9"/>
    <w:rsid w:val="118916FB"/>
    <w:rsid w:val="1221675E"/>
    <w:rsid w:val="12C34799"/>
    <w:rsid w:val="12D93FBD"/>
    <w:rsid w:val="13463246"/>
    <w:rsid w:val="142D4C1F"/>
    <w:rsid w:val="15E762C1"/>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1DD4E2F"/>
    <w:rsid w:val="23736675"/>
    <w:rsid w:val="24B227A0"/>
    <w:rsid w:val="25BA7C7E"/>
    <w:rsid w:val="2666570F"/>
    <w:rsid w:val="26DB4B05"/>
    <w:rsid w:val="271B299E"/>
    <w:rsid w:val="27DD7C53"/>
    <w:rsid w:val="284E3F62"/>
    <w:rsid w:val="28612632"/>
    <w:rsid w:val="2A924D25"/>
    <w:rsid w:val="2BC20F83"/>
    <w:rsid w:val="2C800474"/>
    <w:rsid w:val="2C8F0671"/>
    <w:rsid w:val="2D5A0475"/>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65D659A"/>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qFormat/>
    <w:uiPriority w:val="99"/>
    <w:rPr>
      <w:rFonts w:ascii="方正小标宋简体" w:eastAsia="方正小标宋简体"/>
      <w:kern w:val="0"/>
      <w:sz w:val="24"/>
      <w:szCs w:val="24"/>
    </w:rPr>
  </w:style>
  <w:style w:type="character" w:customStyle="1" w:styleId="10">
    <w:name w:val="标题 2 Char"/>
    <w:basedOn w:val="8"/>
    <w:link w:val="3"/>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xitongcheng</Company>
  <Pages>12</Pages>
  <Words>4539</Words>
  <Characters>5117</Characters>
  <Lines>37</Lines>
  <Paragraphs>10</Paragraphs>
  <TotalTime>1</TotalTime>
  <ScaleCrop>false</ScaleCrop>
  <LinksUpToDate>false</LinksUpToDate>
  <CharactersWithSpaces>5176</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dcterms:modified xsi:type="dcterms:W3CDTF">2024-08-05T08:31:57Z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A44E0A178634409BBBA50D5636087390_13</vt:lpwstr>
  </property>
</Properties>
</file>