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天津市集体运输事业管理中心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天津市集体运输事业管理中心</w:t>
      </w:r>
      <w:r>
        <w:rPr>
          <w:rFonts w:ascii="仿宋_GB2312" w:eastAsia="仿宋_GB2312" w:hint="eastAsia"/>
          <w:sz w:val="30"/>
          <w:szCs w:val="30"/>
        </w:rPr>
        <w:t xml:space="preserve">的主要职责是：</w:t>
      </w:r>
      <w:r>
        <w:rPr>
          <w:rFonts w:ascii="仿宋_GB2312" w:eastAsia="仿宋_GB2312" w:hint="eastAsia"/>
          <w:sz w:val="30"/>
          <w:szCs w:val="30"/>
        </w:rPr>
        <w:t xml:space="preserve">为集体运输企业提供业务指导和服务，对所属集体运输企业经营范围内的集体资产实施监督、管理和资本运营，承担保值增值责任</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天津市集体运输事业管理中心内设4个职能处室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天津市集体运输事业管理中心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天津市集体运输事业管理中心。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237,045.92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100,000.00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1,068,000.00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730,954.08</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1,068,000.00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1,068,000.00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1,068,000.00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1,068,000.00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1,068,000.00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1,068,000.00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237,045.92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237,045.92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237,045.92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237,045.92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137,045.92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137,045.92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730,954.08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730,954.08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730,954.08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730,954.08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730,954.08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730,954.08</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709703</w:t>
            </w:r>
          </w:p>
        </w:tc>
        <w:tc>
          <w:tcPr>
            <w:tcW w:w="1520" w:type="dxa"/>
            <w:tcBorders/>
            <w:vAlign w:val="center"/>
          </w:tcPr>
          <w:p>
            <w:pPr>
              <w:snapToGrid w:val="0"/>
              <w:jc w:val="center"/>
            </w:pPr>
            <w:r>
              <w:rPr>
                <w:rFonts w:ascii="宋体" w:eastAsia="宋体" w:hAnsi="宋体" w:cs="宋体"/>
                <w:b w:val="0"/>
                <w:i w:val="0"/>
                <w:color w:val="000000"/>
                <w:sz w:val="9"/>
              </w:rPr>
              <w:t xml:space="preserve">天津市集体运输事业管理中心</w:t>
            </w: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1,068,000.00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1,068,000.00</w:t>
            </w:r>
          </w:p>
        </w:tc>
        <w:tc>
          <w:tcPr>
            <w:tcW w:w="1320" w:type="dxa"/>
            <w:tcBorders/>
            <w:vAlign w:val="center"/>
          </w:tcPr>
          <w:p>
            <w:pPr>
              <w:snapToGrid w:val="0"/>
              <w:jc w:val="right"/>
            </w:pPr>
            <w:r>
              <w:rPr>
                <w:rFonts w:ascii="宋体" w:eastAsia="宋体" w:hAnsi="宋体" w:cs="宋体"/>
                <w:b w:val="0"/>
                <w:i w:val="0"/>
                <w:color w:val="000000"/>
                <w:sz w:val="15"/>
              </w:rPr>
              <w:t xml:space="preserve">1,068,000.00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237,045.92</w:t>
            </w:r>
          </w:p>
        </w:tc>
        <w:tc>
          <w:tcPr>
            <w:tcW w:w="1320" w:type="dxa"/>
            <w:tcBorders/>
            <w:vAlign w:val="center"/>
          </w:tcPr>
          <w:p>
            <w:pPr>
              <w:snapToGrid w:val="0"/>
              <w:jc w:val="right"/>
            </w:pPr>
            <w:r>
              <w:rPr>
                <w:rFonts w:ascii="宋体" w:eastAsia="宋体" w:hAnsi="宋体" w:cs="宋体"/>
                <w:b w:val="0"/>
                <w:i w:val="0"/>
                <w:color w:val="000000"/>
                <w:sz w:val="15"/>
              </w:rPr>
              <w:t xml:space="preserve">237,045.92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237,045.92</w:t>
            </w:r>
          </w:p>
        </w:tc>
        <w:tc>
          <w:tcPr>
            <w:tcW w:w="1320" w:type="dxa"/>
            <w:tcBorders/>
            <w:vAlign w:val="center"/>
          </w:tcPr>
          <w:p>
            <w:pPr>
              <w:snapToGrid w:val="0"/>
              <w:jc w:val="right"/>
            </w:pPr>
            <w:r>
              <w:rPr>
                <w:rFonts w:ascii="宋体" w:eastAsia="宋体" w:hAnsi="宋体" w:cs="宋体"/>
                <w:b w:val="0"/>
                <w:i w:val="0"/>
                <w:color w:val="000000"/>
                <w:sz w:val="15"/>
              </w:rPr>
              <w:t xml:space="preserve">237,045.92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137,045.92</w:t>
            </w:r>
          </w:p>
        </w:tc>
        <w:tc>
          <w:tcPr>
            <w:tcW w:w="1320" w:type="dxa"/>
            <w:tcBorders/>
            <w:vAlign w:val="center"/>
          </w:tcPr>
          <w:p>
            <w:pPr>
              <w:snapToGrid w:val="0"/>
              <w:jc w:val="right"/>
            </w:pPr>
            <w:r>
              <w:rPr>
                <w:rFonts w:ascii="宋体" w:eastAsia="宋体" w:hAnsi="宋体" w:cs="宋体"/>
                <w:b w:val="0"/>
                <w:i w:val="0"/>
                <w:color w:val="000000"/>
                <w:sz w:val="15"/>
              </w:rPr>
              <w:t xml:space="preserve">137,045.92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snapToGrid w:val="0"/>
              <w:jc w:val="right"/>
            </w:pPr>
            <w:r>
              <w:rPr>
                <w:rFonts w:ascii="宋体" w:eastAsia="宋体" w:hAnsi="宋体" w:cs="宋体"/>
                <w:b w:val="0"/>
                <w:i w:val="0"/>
                <w:color w:val="000000"/>
                <w:sz w:val="15"/>
              </w:rPr>
              <w:t xml:space="preserve">100,000.00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snapToGrid w:val="0"/>
              <w:jc w:val="right"/>
            </w:pPr>
            <w:r>
              <w:rPr>
                <w:rFonts w:ascii="宋体" w:eastAsia="宋体" w:hAnsi="宋体" w:cs="宋体"/>
                <w:b w:val="0"/>
                <w:i w:val="0"/>
                <w:color w:val="000000"/>
                <w:sz w:val="15"/>
              </w:rPr>
              <w:t xml:space="preserve">730,954.08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天津市集体运输事业管理中心2024年度财政拨款收入支出决算总表为空表。</w:t>
      </w:r>
      <w:bookmarkStart w:id="24" w:name="_Toc524951764"/>
      <w:bookmarkStart w:id="25" w:name="_Toc1437764080"/>
      <w:bookmarkStart w:id="26" w:name="_Toc1872910203"/>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天津市集体运输事业管理中心2024年度一般公共预算财政拨款支出决算表为空表。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天津市集体运输事业管理中心2024年度一般公共预算财政拨款基本支出决算表为空表。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1972277765"/>
      <w:bookmarkStart w:id="34" w:name="_Toc2050619938"/>
      <w:bookmarkStart w:id="35" w:name="_Toc1186085211"/>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天津市集体运输事业管理中心2024年度政府性基金预算财政拨款收入支出决算表为空表。</w:t>
      </w:r>
      <w:bookmarkStart w:id="36" w:name="_Toc816430520"/>
      <w:bookmarkStart w:id="37" w:name="_Toc1951730910"/>
      <w:bookmarkStart w:id="38"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天津市集体运输事业管理中心2024年国有资本经营预算财政拨款收入支出决算表为空表。</w:t>
      </w:r>
      <w:bookmarkStart w:id="40" w:name="_Toc2076180092"/>
      <w:bookmarkStart w:id="41" w:name="_Toc1743858547"/>
      <w:bookmarkStart w:id="42"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天津市集体运输事业管理中心2024年财政拨款“三公”经费支出决算表为空表。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173785173"/>
      <w:bookmarkStart w:id="47" w:name="_Toc2044509788"/>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单位：天津市集体运输事业管理中心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天津市集体运输事业管理中心2024年项目支出决算表为空表。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245797798"/>
      <w:bookmarkStart w:id="49" w:name="_Toc1068592552"/>
      <w:bookmarkStart w:id="50" w:name="_Toc190171269"/>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1512537805"/>
      <w:bookmarkStart w:id="55" w:name="_Toc576593978"/>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天津市集体运输事业管理中心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1,068,000.00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增加204,197.53元，增长23.639%</w:t>
      </w:r>
      <w:r>
        <w:rPr>
          <w:rFonts w:eastAsia="仿宋_GB2312" w:hint="eastAsia"/>
          <w:sz w:val="30"/>
          <w:szCs w:val="30"/>
        </w:rPr>
        <w:t xml:space="preserve">，主要原因是</w:t>
      </w:r>
      <w:r>
        <w:rPr>
          <w:rFonts w:eastAsia="仿宋_GB2312" w:hint="eastAsia"/>
          <w:sz w:val="30"/>
          <w:szCs w:val="30"/>
        </w:rPr>
        <w:t xml:space="preserve">本单位处于注销阶段，分流安置人员及相关费用支出增加，上级单位拨款增加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其他收入1,068,000.00元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社会保障和就业支出237,045.92元、卫生健康支出100,000.00元、交通运输支出730,954.08元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天津市集体运输事业管理中心</w:t>
      </w:r>
      <w:r>
        <w:rPr>
          <w:rFonts w:eastAsia="仿宋_GB2312" w:hint="eastAsia"/>
          <w:sz w:val="30"/>
          <w:szCs w:val="30"/>
        </w:rPr>
        <w:t xml:space="preserve">2024年度本年收入合计</w:t>
      </w:r>
      <w:r>
        <w:rPr>
          <w:rFonts w:eastAsia="仿宋_GB2312" w:hint="eastAsia"/>
          <w:sz w:val="30"/>
          <w:szCs w:val="30"/>
        </w:rPr>
        <w:t xml:space="preserve">1,068,000.00</w:t>
      </w:r>
      <w:r>
        <w:rPr>
          <w:rFonts w:eastAsia="仿宋_GB2312" w:hint="eastAsia"/>
          <w:sz w:val="30"/>
          <w:szCs w:val="30"/>
        </w:rPr>
        <w:t xml:space="preserve">元，与2023年度相比</w:t>
      </w:r>
      <w:r>
        <w:rPr>
          <w:rFonts w:eastAsia="仿宋_GB2312" w:hint="eastAsia"/>
          <w:sz w:val="30"/>
          <w:szCs w:val="30"/>
        </w:rPr>
        <w:t xml:space="preserve">增加204,197.53元，</w:t>
      </w:r>
      <w:r>
        <w:rPr>
          <w:rFonts w:eastAsia="仿宋_GB2312" w:hint="eastAsia"/>
          <w:sz w:val="30"/>
          <w:szCs w:val="30"/>
        </w:rPr>
        <w:t xml:space="preserve">主要原因是</w:t>
      </w:r>
      <w:r>
        <w:rPr>
          <w:rFonts w:eastAsia="仿宋_GB2312" w:hint="eastAsia"/>
          <w:sz w:val="30"/>
          <w:szCs w:val="30"/>
        </w:rPr>
        <w:t xml:space="preserve">本单位处于注销阶段，分流安置人员及相关费用支出增加，上级单位拨款增加</w:t>
      </w:r>
      <w:r>
        <w:rPr>
          <w:rFonts w:eastAsia="仿宋_GB2312" w:hint="eastAsia"/>
          <w:sz w:val="30"/>
          <w:szCs w:val="30"/>
        </w:rPr>
        <w:t xml:space="preserve">。其中：</w:t>
      </w:r>
      <w:r>
        <w:rPr>
          <w:rFonts w:eastAsia="仿宋_GB2312" w:hint="eastAsia"/>
          <w:sz w:val="30"/>
          <w:szCs w:val="30"/>
        </w:rPr>
        <w:t xml:space="preserve">其他收入1,068,000.00元，占100.000%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757245026"/>
      <w:bookmarkStart w:id="61" w:name="_Toc1122681810"/>
      <w:bookmarkStart w:id="62" w:name="_Toc1179339603"/>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天津市集体运输事业管理中心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1,068,000.00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增加204,197.53元，</w:t>
      </w:r>
      <w:r>
        <w:rPr>
          <w:rFonts w:eastAsia="仿宋_GB2312" w:hint="eastAsia"/>
          <w:sz w:val="30"/>
          <w:szCs w:val="30"/>
        </w:rPr>
        <w:t xml:space="preserve">主要原因是</w:t>
      </w:r>
      <w:r>
        <w:rPr>
          <w:rFonts w:eastAsia="仿宋_GB2312" w:hint="eastAsia"/>
          <w:sz w:val="30"/>
          <w:szCs w:val="30"/>
        </w:rPr>
        <w:t xml:space="preserve">本单位处于注销阶段，分流安置人员及相关费用支出增加</w:t>
      </w:r>
      <w:r>
        <w:rPr>
          <w:rFonts w:eastAsia="仿宋_GB2312" w:hint="eastAsia"/>
          <w:sz w:val="30"/>
          <w:szCs w:val="30"/>
        </w:rPr>
        <w:t xml:space="preserve">。其中：</w:t>
      </w:r>
      <w:r>
        <w:rPr>
          <w:rFonts w:eastAsia="仿宋_GB2312" w:hint="eastAsia"/>
          <w:sz w:val="30"/>
          <w:szCs w:val="30"/>
        </w:rPr>
        <w:t xml:space="preserve">基本支出1,068,000.00元，占100.000%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2034129458"/>
      <w:bookmarkStart w:id="66" w:name="_Toc1029059860"/>
      <w:bookmarkStart w:id="67" w:name="_Toc1320487183"/>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天津市集体运输事业管理中心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本单位为自收自支单位，无财政拨款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63136636"/>
      <w:bookmarkStart w:id="70" w:name="_Toc1332076583"/>
      <w:bookmarkStart w:id="71" w:name="_Toc182162401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天津市集体运输事业管理中心2024年度无一般公共预算财政拨款收入、支出和结转结余。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天津市集体运输事业管理中心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本单位为自收自支单位，无一般公共预算财政拨款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568131460"/>
      <w:bookmarkStart w:id="77" w:name="_Toc157358551"/>
      <w:bookmarkStart w:id="78" w:name="_Toc314288823"/>
      <w:bookmarkStart w:id="79" w:name="_Toc1070516966"/>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天津市集体运输事业管理中心2024年度无政府性基金预算财政拨款收入、支出和结转结余。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172797200"/>
      <w:bookmarkStart w:id="81" w:name="_Toc560652996"/>
      <w:bookmarkStart w:id="82" w:name="_Toc873153658"/>
      <w:bookmarkStart w:id="83" w:name="_Toc158996018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天津市集体运输事业管理中心2024年度无国有资本经营预算财政拨款收入、支出和结转结余。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884144383"/>
      <w:bookmarkStart w:id="85" w:name="_Toc1337770055"/>
      <w:bookmarkStart w:id="86" w:name="_Toc1321860095"/>
      <w:bookmarkStart w:id="87" w:name="_Toc1597628234"/>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决算数较上年持平的主要原因是本年度与上年度未用财政拨款经费列支“三公”经费。</w:t>
      </w:r>
    </w:p>
    <w:p>
      <w:pPr>
        <w:spacing w:line="600" w:lineRule="exact"/>
        <w:ind w:firstLine="600" w:firstLineChars="200"/>
        <w:rPr>
          <w:rFonts w:ascii="楷体" w:eastAsia="楷体" w:hAnsi="楷体" w:cs="楷体"/>
          <w:b/>
          <w:bCs/>
          <w:sz w:val="30"/>
          <w:szCs w:val="30"/>
        </w:rPr>
      </w:pPr>
      <w:bookmarkStart w:id="90" w:name="_Toc281353864"/>
      <w:bookmarkStart w:id="91" w:name="_Toc13009599"/>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决算数较上年持平的主要原因是本年度与上年度均未用财政拨款经费列支因公出国（境）费。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决算数较上年持平的主要原因是本年度与上年度均未用财政拨款经费列支公务用车购置及运行维护费。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决算数较上年持平的主要原因是本年度与上年度均未用财政拨款经费列支公务用车运行维护费。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1349690397"/>
      <w:bookmarkStart w:id="93" w:name="_Toc2102885201"/>
      <w:bookmarkStart w:id="94" w:name="_Toc1895013942"/>
      <w:bookmarkStart w:id="95" w:name="_Toc20786419"/>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天津市集体运输事业管理中心2024年度无机关运行经费。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376739118"/>
      <w:bookmarkStart w:id="97" w:name="_Toc2053194528"/>
      <w:bookmarkStart w:id="98" w:name="_Toc1464993319"/>
      <w:bookmarkStart w:id="99" w:name="_Toc169354537"/>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天津市集体运输事业管理中心2024年度无政府采购支出。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072564870"/>
      <w:bookmarkStart w:id="102" w:name="_Toc925871084"/>
      <w:bookmarkStart w:id="103" w:name="_Toc1242699578"/>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天津市集体运输事业管理中心2024年度无国有资产占有使用情况。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5" w:name="_Toc448802626"/>
      <w:bookmarkStart w:id="106" w:name="_Toc1773340371"/>
      <w:bookmarkStart w:id="107" w:name="_Toc1805544570"/>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天津市集体运输事业管理中心2024年度没有项目支出,无需开展绩效自评。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8" w:name="_Toc1063166918"/>
      <w:bookmarkStart w:id="109" w:name="_Toc1843655880"/>
      <w:bookmarkStart w:id="110" w:name="_Toc1753562331"/>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天津市集体运输事业管理中心不属于乡、镇、街级单位,不涉及公开2024年度教育、医疗卫生、社会保障和就业、住房保障、涉农补贴等民生支出情况。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