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天津市津交驾驶员学校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天津市津交驾驶员学校</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天津市津交驾驶员学校因事业单位改革，所有经营活动自2018年起停止，所有支出全部由上级主管单位交通集团借款拨付</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天津市津交驾驶员学校内设4个职能处室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天津市津交驾驶员学校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天津市津交驾驶员学校。</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236,658.13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76,872.48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27,571.58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341,102.19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341,102.19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341,102.19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341,102.19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341,102.19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341,102.19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341,102.19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236,658.13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236,658.13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236,658.13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236,658.13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236,658.13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236,658.13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76,872.48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76,872.48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76,872.48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76,872.48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51,248.32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51,248.32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25,624.16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25,624.16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27,571.58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27,571.58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27,571.58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27,571.58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27,571.58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27,571.58</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341,102.19</w:t>
            </w:r>
          </w:p>
        </w:tc>
        <w:tc>
          <w:tcPr>
            <w:tcW w:w="580" w:type="dxa"/>
            <w:tcBorders/>
            <w:vAlign w:val="center"/>
          </w:tcPr>
          <w:p>
            <w:pPr>
              <w:snapToGrid w:val="0"/>
              <w:jc w:val="right"/>
            </w:pPr>
            <w:r>
              <w:rPr>
                <w:rFonts w:ascii="宋体" w:eastAsia="宋体" w:hAnsi="宋体" w:cs="宋体"/>
                <w:b w:val="0"/>
                <w:i w:val="0"/>
                <w:color w:val="000000"/>
                <w:sz w:val="9"/>
              </w:rPr>
              <w:t xml:space="preserve">341,102.19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341,102.19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709706</w:t>
            </w:r>
          </w:p>
        </w:tc>
        <w:tc>
          <w:tcPr>
            <w:tcW w:w="1520" w:type="dxa"/>
            <w:tcBorders/>
            <w:vAlign w:val="center"/>
          </w:tcPr>
          <w:p>
            <w:pPr>
              <w:snapToGrid w:val="0"/>
              <w:jc w:val="center"/>
            </w:pPr>
            <w:r>
              <w:rPr>
                <w:rFonts w:ascii="宋体" w:eastAsia="宋体" w:hAnsi="宋体" w:cs="宋体"/>
                <w:b w:val="0"/>
                <w:i w:val="0"/>
                <w:color w:val="000000"/>
                <w:sz w:val="9"/>
              </w:rPr>
              <w:t xml:space="preserve">天津市津交驾驶员学校</w:t>
            </w:r>
          </w:p>
        </w:tc>
        <w:tc>
          <w:tcPr>
            <w:tcW w:w="580" w:type="dxa"/>
            <w:tcBorders/>
            <w:vAlign w:val="center"/>
          </w:tcPr>
          <w:p>
            <w:pPr>
              <w:snapToGrid w:val="0"/>
              <w:jc w:val="right"/>
            </w:pPr>
            <w:r>
              <w:rPr>
                <w:rFonts w:ascii="宋体" w:eastAsia="宋体" w:hAnsi="宋体" w:cs="宋体"/>
                <w:b w:val="0"/>
                <w:i w:val="0"/>
                <w:color w:val="000000"/>
                <w:sz w:val="9"/>
              </w:rPr>
              <w:t xml:space="preserve">341,102.19</w:t>
            </w:r>
          </w:p>
        </w:tc>
        <w:tc>
          <w:tcPr>
            <w:tcW w:w="580" w:type="dxa"/>
            <w:tcBorders/>
            <w:vAlign w:val="center"/>
          </w:tcPr>
          <w:p>
            <w:pPr>
              <w:snapToGrid w:val="0"/>
              <w:jc w:val="right"/>
            </w:pPr>
            <w:r>
              <w:rPr>
                <w:rFonts w:ascii="宋体" w:eastAsia="宋体" w:hAnsi="宋体" w:cs="宋体"/>
                <w:b w:val="0"/>
                <w:i w:val="0"/>
                <w:color w:val="000000"/>
                <w:sz w:val="9"/>
              </w:rPr>
              <w:t xml:space="preserve">341,102.19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341,102.19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341,102.19</w:t>
            </w:r>
          </w:p>
        </w:tc>
        <w:tc>
          <w:tcPr>
            <w:tcW w:w="1320" w:type="dxa"/>
            <w:tcBorders/>
            <w:vAlign w:val="center"/>
          </w:tcPr>
          <w:p>
            <w:pPr>
              <w:snapToGrid w:val="0"/>
              <w:jc w:val="right"/>
            </w:pPr>
            <w:r>
              <w:rPr>
                <w:rFonts w:ascii="宋体" w:eastAsia="宋体" w:hAnsi="宋体" w:cs="宋体"/>
                <w:b w:val="0"/>
                <w:i w:val="0"/>
                <w:color w:val="000000"/>
                <w:sz w:val="15"/>
              </w:rPr>
              <w:t xml:space="preserve">341,102.19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76,872.48</w:t>
            </w:r>
          </w:p>
        </w:tc>
        <w:tc>
          <w:tcPr>
            <w:tcW w:w="1320" w:type="dxa"/>
            <w:tcBorders/>
            <w:vAlign w:val="center"/>
          </w:tcPr>
          <w:p>
            <w:pPr>
              <w:snapToGrid w:val="0"/>
              <w:jc w:val="right"/>
            </w:pPr>
            <w:r>
              <w:rPr>
                <w:rFonts w:ascii="宋体" w:eastAsia="宋体" w:hAnsi="宋体" w:cs="宋体"/>
                <w:b w:val="0"/>
                <w:i w:val="0"/>
                <w:color w:val="000000"/>
                <w:sz w:val="15"/>
              </w:rPr>
              <w:t xml:space="preserve">76,872.48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76,872.48</w:t>
            </w:r>
          </w:p>
        </w:tc>
        <w:tc>
          <w:tcPr>
            <w:tcW w:w="1320" w:type="dxa"/>
            <w:tcBorders/>
            <w:vAlign w:val="center"/>
          </w:tcPr>
          <w:p>
            <w:pPr>
              <w:snapToGrid w:val="0"/>
              <w:jc w:val="right"/>
            </w:pPr>
            <w:r>
              <w:rPr>
                <w:rFonts w:ascii="宋体" w:eastAsia="宋体" w:hAnsi="宋体" w:cs="宋体"/>
                <w:b w:val="0"/>
                <w:i w:val="0"/>
                <w:color w:val="000000"/>
                <w:sz w:val="15"/>
              </w:rPr>
              <w:t xml:space="preserve">76,872.48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51,248.32</w:t>
            </w:r>
          </w:p>
        </w:tc>
        <w:tc>
          <w:tcPr>
            <w:tcW w:w="1320" w:type="dxa"/>
            <w:tcBorders/>
            <w:vAlign w:val="center"/>
          </w:tcPr>
          <w:p>
            <w:pPr>
              <w:snapToGrid w:val="0"/>
              <w:jc w:val="right"/>
            </w:pPr>
            <w:r>
              <w:rPr>
                <w:rFonts w:ascii="宋体" w:eastAsia="宋体" w:hAnsi="宋体" w:cs="宋体"/>
                <w:b w:val="0"/>
                <w:i w:val="0"/>
                <w:color w:val="000000"/>
                <w:sz w:val="15"/>
              </w:rPr>
              <w:t xml:space="preserve">51,248.32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25,624.16</w:t>
            </w:r>
          </w:p>
        </w:tc>
        <w:tc>
          <w:tcPr>
            <w:tcW w:w="1320" w:type="dxa"/>
            <w:tcBorders/>
            <w:vAlign w:val="center"/>
          </w:tcPr>
          <w:p>
            <w:pPr>
              <w:snapToGrid w:val="0"/>
              <w:jc w:val="right"/>
            </w:pPr>
            <w:r>
              <w:rPr>
                <w:rFonts w:ascii="宋体" w:eastAsia="宋体" w:hAnsi="宋体" w:cs="宋体"/>
                <w:b w:val="0"/>
                <w:i w:val="0"/>
                <w:color w:val="000000"/>
                <w:sz w:val="15"/>
              </w:rPr>
              <w:t xml:space="preserve">25,624.16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27,571.58</w:t>
            </w:r>
          </w:p>
        </w:tc>
        <w:tc>
          <w:tcPr>
            <w:tcW w:w="1320" w:type="dxa"/>
            <w:tcBorders/>
            <w:vAlign w:val="center"/>
          </w:tcPr>
          <w:p>
            <w:pPr>
              <w:snapToGrid w:val="0"/>
              <w:jc w:val="right"/>
            </w:pPr>
            <w:r>
              <w:rPr>
                <w:rFonts w:ascii="宋体" w:eastAsia="宋体" w:hAnsi="宋体" w:cs="宋体"/>
                <w:b w:val="0"/>
                <w:i w:val="0"/>
                <w:color w:val="000000"/>
                <w:sz w:val="15"/>
              </w:rPr>
              <w:t xml:space="preserve">27,571.58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27,571.58</w:t>
            </w:r>
          </w:p>
        </w:tc>
        <w:tc>
          <w:tcPr>
            <w:tcW w:w="1320" w:type="dxa"/>
            <w:tcBorders/>
            <w:vAlign w:val="center"/>
          </w:tcPr>
          <w:p>
            <w:pPr>
              <w:snapToGrid w:val="0"/>
              <w:jc w:val="right"/>
            </w:pPr>
            <w:r>
              <w:rPr>
                <w:rFonts w:ascii="宋体" w:eastAsia="宋体" w:hAnsi="宋体" w:cs="宋体"/>
                <w:b w:val="0"/>
                <w:i w:val="0"/>
                <w:color w:val="000000"/>
                <w:sz w:val="15"/>
              </w:rPr>
              <w:t xml:space="preserve">27,571.58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27,571.58</w:t>
            </w:r>
          </w:p>
        </w:tc>
        <w:tc>
          <w:tcPr>
            <w:tcW w:w="1320" w:type="dxa"/>
            <w:tcBorders/>
            <w:vAlign w:val="center"/>
          </w:tcPr>
          <w:p>
            <w:pPr>
              <w:snapToGrid w:val="0"/>
              <w:jc w:val="right"/>
            </w:pPr>
            <w:r>
              <w:rPr>
                <w:rFonts w:ascii="宋体" w:eastAsia="宋体" w:hAnsi="宋体" w:cs="宋体"/>
                <w:b w:val="0"/>
                <w:i w:val="0"/>
                <w:color w:val="000000"/>
                <w:sz w:val="15"/>
              </w:rPr>
              <w:t xml:space="preserve">27,571.58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天津市津交驾驶员学校2024年度财政拨款收入支出决算总表为空表。</w:t>
      </w:r>
      <w:bookmarkStart w:id="24" w:name="_Toc524951764"/>
      <w:bookmarkStart w:id="25" w:name="_Toc1437764080"/>
      <w:bookmarkStart w:id="26" w:name="_Toc1872910203"/>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天津市津交驾驶员学校2024年度一般公共预算财政拨款支出决算表为空表。</w:t>
      </w:r>
      <w:bookmarkStart w:id="28" w:name="_Toc1014896516"/>
      <w:bookmarkStart w:id="29" w:name="_Toc1001475672"/>
      <w:bookmarkStart w:id="30" w:name="_Toc186484095"/>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天津市津交驾驶员学校2024年度一般公共预算财政拨款基本支出决算表为空表。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1059543692"/>
      <w:bookmarkStart w:id="33" w:name="_Toc1972277765"/>
      <w:bookmarkStart w:id="34" w:name="_Toc2050619938"/>
      <w:bookmarkStart w:id="35" w:name="_Toc1186085211"/>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天津市津交驾驶员学校2024年度政府性基金预算财政拨款收入支出决算表为空表。</w:t>
      </w:r>
      <w:bookmarkStart w:id="36" w:name="_Toc816430520"/>
      <w:bookmarkStart w:id="37" w:name="_Toc1951730910"/>
      <w:bookmarkStart w:id="38"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天津市津交驾驶员学校2024年国有资本经营预算财政拨款收入支出决算表为空表。</w:t>
      </w:r>
      <w:bookmarkStart w:id="40" w:name="_Toc2076180092"/>
      <w:bookmarkStart w:id="41" w:name="_Toc1743858547"/>
      <w:bookmarkStart w:id="42"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天津市津交驾驶员学校2024年财政拨款“三公”经费支出决算表为空表。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173785173"/>
      <w:bookmarkStart w:id="47" w:name="_Toc2044509788"/>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单位：天津市津交驾驶员学校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天津市津交驾驶员学校2024年项目支出决算表为空表。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245797798"/>
      <w:bookmarkStart w:id="49" w:name="_Toc1068592552"/>
      <w:bookmarkStart w:id="50" w:name="_Toc190171269"/>
      <w:bookmarkStart w:id="51" w:name="_Toc229642691"/>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429281603"/>
      <w:bookmarkStart w:id="53" w:name="_Toc752851347"/>
      <w:bookmarkStart w:id="54" w:name="_Toc1512537805"/>
      <w:bookmarkStart w:id="55" w:name="_Toc576593978"/>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天津市津交驾驶员学校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341,102.19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增加35,694.26元，增长11.687%</w:t>
      </w:r>
      <w:r>
        <w:rPr>
          <w:rFonts w:eastAsia="仿宋_GB2312" w:hint="eastAsia"/>
          <w:sz w:val="30"/>
          <w:szCs w:val="30"/>
        </w:rPr>
        <w:t xml:space="preserve">，主要原因是</w:t>
      </w:r>
      <w:r>
        <w:rPr>
          <w:rFonts w:eastAsia="仿宋_GB2312" w:hint="eastAsia"/>
          <w:sz w:val="30"/>
          <w:szCs w:val="30"/>
        </w:rPr>
        <w:t xml:space="preserve">单位正处于注销阶段，所需人员安置费用等增加；单位无业务，收入为上级单位按实际拨款。</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其他收入341,102.19元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教育支出236,658.13元、社会保障和就业支出76,872.48元、卫生健康支出27,571.58元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458959096"/>
      <w:bookmarkStart w:id="57" w:name="_Toc198940905"/>
      <w:bookmarkStart w:id="58" w:name="_Toc1538331348"/>
      <w:bookmarkStart w:id="59" w:name="_Toc1368772982"/>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天津市津交驾驶员学校</w:t>
      </w:r>
      <w:r>
        <w:rPr>
          <w:rFonts w:eastAsia="仿宋_GB2312" w:hint="eastAsia"/>
          <w:sz w:val="30"/>
          <w:szCs w:val="30"/>
        </w:rPr>
        <w:t xml:space="preserve">2024年度本年收入合计</w:t>
      </w:r>
      <w:r>
        <w:rPr>
          <w:rFonts w:eastAsia="仿宋_GB2312" w:hint="eastAsia"/>
          <w:sz w:val="30"/>
          <w:szCs w:val="30"/>
        </w:rPr>
        <w:t xml:space="preserve">341,102.19</w:t>
      </w:r>
      <w:r>
        <w:rPr>
          <w:rFonts w:eastAsia="仿宋_GB2312" w:hint="eastAsia"/>
          <w:sz w:val="30"/>
          <w:szCs w:val="30"/>
        </w:rPr>
        <w:t xml:space="preserve">元，与2023年度相比</w:t>
      </w:r>
      <w:r>
        <w:rPr>
          <w:rFonts w:eastAsia="仿宋_GB2312" w:hint="eastAsia"/>
          <w:sz w:val="30"/>
          <w:szCs w:val="30"/>
        </w:rPr>
        <w:t xml:space="preserve">增加35,694.26元，</w:t>
      </w:r>
      <w:r>
        <w:rPr>
          <w:rFonts w:eastAsia="仿宋_GB2312" w:hint="eastAsia"/>
          <w:sz w:val="30"/>
          <w:szCs w:val="30"/>
        </w:rPr>
        <w:t xml:space="preserve">主要原因是</w:t>
      </w:r>
      <w:r>
        <w:rPr>
          <w:rFonts w:eastAsia="仿宋_GB2312" w:hint="eastAsia"/>
          <w:sz w:val="30"/>
          <w:szCs w:val="30"/>
        </w:rPr>
        <w:t xml:space="preserve">单位正处于注销阶段，单位无业务，收入为上级单位按实际拨款，单位注销所需人员安置费用等增加，上级单位按实际拨款</w:t>
      </w:r>
      <w:r>
        <w:rPr>
          <w:rFonts w:eastAsia="仿宋_GB2312" w:hint="eastAsia"/>
          <w:sz w:val="30"/>
          <w:szCs w:val="30"/>
        </w:rPr>
        <w:t xml:space="preserve">。其中：</w:t>
      </w:r>
      <w:r>
        <w:rPr>
          <w:rFonts w:eastAsia="仿宋_GB2312" w:hint="eastAsia"/>
          <w:sz w:val="30"/>
          <w:szCs w:val="30"/>
        </w:rPr>
        <w:t xml:space="preserve">其他收入341,102.19元，占100.000%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757245026"/>
      <w:bookmarkStart w:id="61" w:name="_Toc1122681810"/>
      <w:bookmarkStart w:id="62" w:name="_Toc1179339603"/>
      <w:bookmarkStart w:id="63" w:name="_Toc2115235603"/>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天津市津交驾驶员学校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341,102.19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增加35,694.26元，</w:t>
      </w:r>
      <w:r>
        <w:rPr>
          <w:rFonts w:eastAsia="仿宋_GB2312" w:hint="eastAsia"/>
          <w:sz w:val="30"/>
          <w:szCs w:val="30"/>
        </w:rPr>
        <w:t xml:space="preserve">主要原因是</w:t>
      </w:r>
      <w:r>
        <w:rPr>
          <w:rFonts w:eastAsia="仿宋_GB2312" w:hint="eastAsia"/>
          <w:sz w:val="30"/>
          <w:szCs w:val="30"/>
        </w:rPr>
        <w:t xml:space="preserve">单位正处于注销阶段，单位无业务，收入为上级单位按实际拨款，单位注销所需人员安置费用等增加</w:t>
      </w:r>
      <w:r>
        <w:rPr>
          <w:rFonts w:eastAsia="仿宋_GB2312" w:hint="eastAsia"/>
          <w:sz w:val="30"/>
          <w:szCs w:val="30"/>
        </w:rPr>
        <w:t xml:space="preserve">。其中：</w:t>
      </w:r>
      <w:r>
        <w:rPr>
          <w:rFonts w:eastAsia="仿宋_GB2312" w:hint="eastAsia"/>
          <w:sz w:val="30"/>
          <w:szCs w:val="30"/>
        </w:rPr>
        <w:t xml:space="preserve">基本支出341,102.19元，占100.000%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1121858128"/>
      <w:bookmarkStart w:id="65" w:name="_Toc2034129458"/>
      <w:bookmarkStart w:id="66" w:name="_Toc1029059860"/>
      <w:bookmarkStart w:id="67" w:name="_Toc1320487183"/>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天津市津交驾驶员学校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本单位为自收自支单位，无财政拨款收支</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723257729"/>
      <w:bookmarkStart w:id="69" w:name="_Toc163136636"/>
      <w:bookmarkStart w:id="70" w:name="_Toc1332076583"/>
      <w:bookmarkStart w:id="71" w:name="_Toc182162401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天津市津交驾驶员学校2024年度无一般公共预算财政拨款收入、支出和结转结余。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648307680"/>
      <w:bookmarkStart w:id="73" w:name="_Toc1507914859"/>
      <w:bookmarkStart w:id="74" w:name="_Toc1828187861"/>
      <w:bookmarkStart w:id="75" w:name="_Toc1127616914"/>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天津市津交驾驶员学校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本单位为自收自支单位，无一般公共预算财政拨款收支</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568131460"/>
      <w:bookmarkStart w:id="77" w:name="_Toc157358551"/>
      <w:bookmarkStart w:id="78" w:name="_Toc314288823"/>
      <w:bookmarkStart w:id="79" w:name="_Toc1070516966"/>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天津市津交驾驶员学校2024年度无政府性基金预算财政拨款收入、支出和结转结余。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1172797200"/>
      <w:bookmarkStart w:id="81" w:name="_Toc560652996"/>
      <w:bookmarkStart w:id="82" w:name="_Toc873153658"/>
      <w:bookmarkStart w:id="83" w:name="_Toc1589960188"/>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天津市津交驾驶员学校2024年度无国有资本经营预算财政拨款收入、支出和结转结余。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4" w:name="_Toc1884144383"/>
      <w:bookmarkStart w:id="85" w:name="_Toc1337770055"/>
      <w:bookmarkStart w:id="86" w:name="_Toc1321860095"/>
      <w:bookmarkStart w:id="87" w:name="_Toc1597628234"/>
      <w:r>
        <w:rPr>
          <w:rFonts w:ascii="黑体" w:eastAsia="黑体" w:hAnsi="黑体" w:cs="仿宋_GB2312" w:hint="eastAsia"/>
          <w:sz w:val="30"/>
          <w:szCs w:val="30"/>
        </w:rPr>
        <w:t xml:space="preserve">九、财政拨款“三公”经费支出决算情况说明</w:t>
      </w:r>
      <w:bookmarkEnd w:id="84"/>
      <w:bookmarkEnd w:id="85"/>
      <w:bookmarkEnd w:id="86"/>
      <w:bookmarkEnd w:id="87"/>
    </w:p>
    <w:p>
      <w:pPr>
        <w:spacing w:line="600" w:lineRule="exact"/>
        <w:ind w:firstLine="600" w:firstLineChars="200"/>
        <w:rPr>
          <w:rFonts w:ascii="楷体" w:eastAsia="楷体" w:hAnsi="楷体" w:cs="楷体"/>
          <w:b/>
          <w:bCs/>
          <w:sz w:val="30"/>
          <w:szCs w:val="30"/>
        </w:rPr>
      </w:pPr>
      <w:bookmarkStart w:id="88" w:name="_Toc784288450"/>
      <w:bookmarkStart w:id="89" w:name="_Toc99152753"/>
      <w:r>
        <w:rPr>
          <w:rFonts w:ascii="楷体" w:eastAsia="楷体" w:hAnsi="楷体" w:cs="楷体" w:hint="eastAsia"/>
          <w:b/>
          <w:bCs/>
          <w:sz w:val="30"/>
          <w:szCs w:val="30"/>
        </w:rPr>
        <w:t xml:space="preserve">（一）总体情况</w:t>
      </w:r>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决算数较上年持平的主要原因是本年度与上年度未用财政拨款经费列支“三公”经费。</w:t>
      </w:r>
    </w:p>
    <w:p>
      <w:pPr>
        <w:spacing w:line="600" w:lineRule="exact"/>
        <w:ind w:firstLine="600" w:firstLineChars="200"/>
        <w:rPr>
          <w:rFonts w:ascii="楷体" w:eastAsia="楷体" w:hAnsi="楷体" w:cs="楷体"/>
          <w:b/>
          <w:bCs/>
          <w:sz w:val="30"/>
          <w:szCs w:val="30"/>
        </w:rPr>
      </w:pPr>
      <w:bookmarkStart w:id="90" w:name="_Toc281353864"/>
      <w:bookmarkStart w:id="91" w:name="_Toc13009599"/>
      <w:r>
        <w:rPr>
          <w:rFonts w:ascii="楷体" w:eastAsia="楷体" w:hAnsi="楷体" w:cs="楷体" w:hint="eastAsia"/>
          <w:b/>
          <w:bCs/>
          <w:sz w:val="30"/>
          <w:szCs w:val="30"/>
        </w:rPr>
        <w:t xml:space="preserve">（二）具体情况</w:t>
      </w:r>
      <w:bookmarkEnd w:id="90"/>
      <w:bookmarkEnd w:id="91"/>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决算数较上年持平的主要原因是本年度与上年度未用财政拨款经费列支因公出国（境）费。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决算数较上年持平的主要原因是本年度与上年度未用财政拨款经费列支公务用车购置及运行维护费。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决算数较上年持平的主要原因是本年度与上年度未用财政拨款经费列支公务用车运行维护费。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决算数较上年持平的主要原因是本年度与上年度未用财政拨款经费列支公务用车购置费。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决算数较上年持平的主要原因是本年度与上年度未用财政拨款经费列支公务接待费。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2" w:name="_Toc1349690397"/>
      <w:bookmarkStart w:id="93" w:name="_Toc2102885201"/>
      <w:bookmarkStart w:id="94" w:name="_Toc1895013942"/>
      <w:bookmarkStart w:id="95" w:name="_Toc20786419"/>
      <w:r>
        <w:rPr>
          <w:rFonts w:ascii="黑体" w:eastAsia="黑体" w:hAnsi="黑体" w:cs="仿宋_GB2312" w:hint="eastAsia"/>
          <w:sz w:val="30"/>
          <w:szCs w:val="30"/>
        </w:rPr>
        <w:t xml:space="preserve">十、机关运行经费支出情况说明</w:t>
      </w:r>
      <w:bookmarkEnd w:id="92"/>
      <w:bookmarkEnd w:id="93"/>
      <w:bookmarkEnd w:id="94"/>
      <w:bookmarkEnd w:id="95"/>
    </w:p>
    <w:p>
      <w:pPr>
        <w:spacing w:line="600" w:lineRule="exact"/>
        <w:ind w:firstLine="600" w:firstLineChars="200"/>
        <w:rPr>
          <w:rFonts w:eastAsia="仿宋_GB2312"/>
          <w:sz w:val="30"/>
          <w:szCs w:val="30"/>
        </w:rPr>
      </w:pPr>
      <w:r>
        <w:rPr>
          <w:rFonts w:eastAsia="仿宋_GB2312" w:hint="eastAsia"/>
          <w:sz w:val="30"/>
          <w:szCs w:val="30"/>
        </w:rPr>
        <w:t xml:space="preserve">天津市津交驾驶员学校2024年度无机关运行经费。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6" w:name="_Toc376739118"/>
      <w:bookmarkStart w:id="97" w:name="_Toc2053194528"/>
      <w:bookmarkStart w:id="98" w:name="_Toc1464993319"/>
      <w:bookmarkStart w:id="99" w:name="_Toc169354537"/>
      <w:r>
        <w:rPr>
          <w:rFonts w:ascii="黑体" w:eastAsia="黑体" w:hAnsi="黑体" w:cs="仿宋_GB2312" w:hint="eastAsia"/>
          <w:sz w:val="30"/>
          <w:szCs w:val="30"/>
        </w:rPr>
        <w:t xml:space="preserve">十一、政府采购支出情况说明</w:t>
      </w:r>
      <w:bookmarkEnd w:id="96"/>
      <w:bookmarkEnd w:id="97"/>
      <w:bookmarkEnd w:id="98"/>
      <w:bookmarkEnd w:id="99"/>
    </w:p>
    <w:p>
      <w:pPr>
        <w:spacing w:line="600" w:lineRule="exact"/>
        <w:ind w:firstLine="600" w:firstLineChars="200"/>
        <w:jc w:val="both"/>
        <w:rPr>
          <w:rFonts w:eastAsia="仿宋_GB2312"/>
          <w:sz w:val="30"/>
          <w:szCs w:val="30"/>
        </w:rPr>
      </w:pPr>
      <w:r>
        <w:rPr>
          <w:rFonts w:eastAsia="仿宋_GB2312" w:hint="eastAsia"/>
          <w:sz w:val="30"/>
          <w:szCs w:val="30"/>
        </w:rPr>
        <w:t xml:space="preserve">天津市津交驾驶员学校2024年度无政府采购支出。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100" w:name="_Toc125708453"/>
      <w:bookmarkStart w:id="101" w:name="_Toc1072564870"/>
      <w:bookmarkStart w:id="102" w:name="_Toc925871084"/>
      <w:bookmarkStart w:id="103" w:name="_Toc1242699578"/>
      <w:r>
        <w:rPr>
          <w:rFonts w:ascii="黑体" w:eastAsia="黑体" w:hAnsi="黑体" w:cs="仿宋_GB2312" w:hint="eastAsia"/>
          <w:sz w:val="30"/>
          <w:szCs w:val="30"/>
        </w:rPr>
        <w:t xml:space="preserve">十二、国有资产占有使用情况说明</w:t>
      </w:r>
      <w:bookmarkEnd w:id="100"/>
      <w:bookmarkEnd w:id="101"/>
      <w:bookmarkEnd w:id="102"/>
      <w:bookmarkEnd w:id="103"/>
    </w:p>
    <w:p>
      <w:pPr>
        <w:spacing w:line="600" w:lineRule="exact"/>
        <w:ind w:firstLine="600" w:firstLineChars="200"/>
        <w:jc w:val="both"/>
        <w:rPr>
          <w:rFonts w:eastAsia="仿宋_GB2312"/>
          <w:sz w:val="30"/>
          <w:szCs w:val="30"/>
        </w:rPr>
      </w:pPr>
      <w:bookmarkStart w:id="104" w:name="_Toc620037172"/>
      <w:r>
        <w:rPr>
          <w:rFonts w:eastAsia="仿宋_GB2312" w:hint="eastAsia"/>
          <w:sz w:val="30"/>
          <w:szCs w:val="30"/>
        </w:rPr>
        <w:t xml:space="preserve">截至2024年12月31日，天津市津交驾驶员学校共有车辆38辆</w:t>
      </w:r>
      <w:r>
        <w:rPr>
          <w:rFonts w:eastAsia="仿宋_GB2312" w:hint="eastAsia"/>
          <w:sz w:val="30"/>
          <w:szCs w:val="30"/>
        </w:rPr>
        <w:t xml:space="preserve">，其中：</w:t>
      </w:r>
      <w:r>
        <w:rPr>
          <w:rFonts w:eastAsia="仿宋_GB2312" w:hint="eastAsia"/>
          <w:sz w:val="30"/>
          <w:szCs w:val="30"/>
        </w:rPr>
        <w:t xml:space="preserve">其他用车38辆</w:t>
      </w:r>
      <w:r>
        <w:rPr>
          <w:rFonts w:eastAsia="仿宋_GB2312" w:hint="eastAsia"/>
          <w:sz w:val="30"/>
          <w:szCs w:val="30"/>
        </w:rPr>
        <w:t xml:space="preserve">，其他用车主要包括教学用车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5" w:name="_Toc448802626"/>
      <w:bookmarkStart w:id="106" w:name="_Toc1773340371"/>
      <w:bookmarkStart w:id="107" w:name="_Toc1805544570"/>
      <w:r>
        <w:rPr>
          <w:rFonts w:ascii="黑体" w:eastAsia="黑体" w:hAnsi="黑体" w:cs="仿宋_GB2312" w:hint="eastAsia"/>
          <w:sz w:val="30"/>
          <w:szCs w:val="30"/>
        </w:rPr>
        <w:t xml:space="preserve">十三、预算绩效情况说明</w:t>
      </w:r>
      <w:bookmarkEnd w:id="104"/>
      <w:bookmarkEnd w:id="105"/>
      <w:bookmarkEnd w:id="106"/>
      <w:bookmarkEnd w:id="107"/>
    </w:p>
    <w:p>
      <w:pPr>
        <w:spacing w:line="600" w:lineRule="exact"/>
        <w:jc w:val="both"/>
        <w:rPr>
          <w:rFonts w:eastAsia="仿宋_GB2312"/>
          <w:sz w:val="30"/>
          <w:szCs w:val="30"/>
        </w:rPr>
      </w:pPr>
      <w:r>
        <w:rPr>
          <w:rFonts w:eastAsia="仿宋_GB2312" w:hint="eastAsia"/>
          <w:sz w:val="30"/>
          <w:szCs w:val="30"/>
        </w:rPr>
        <w:t xml:space="preserve">    天津市津交驾驶员学校2024年度没有项目支出,无需开展绩效自评。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8" w:name="_Toc1063166918"/>
      <w:bookmarkStart w:id="109" w:name="_Toc1843655880"/>
      <w:bookmarkStart w:id="110" w:name="_Toc1753562331"/>
      <w:bookmarkStart w:id="111" w:name="_Toc1374094560"/>
      <w:r>
        <w:rPr>
          <w:rFonts w:ascii="黑体" w:eastAsia="黑体" w:hAnsi="黑体" w:cs="仿宋_GB2312" w:hint="eastAsia"/>
          <w:sz w:val="30"/>
          <w:szCs w:val="30"/>
        </w:rPr>
        <w:t xml:space="preserve">十四、教育、医疗卫生、社会保障和就业、住房保障、涉农补贴等民生支出情况说明</w:t>
      </w:r>
      <w:bookmarkEnd w:id="108"/>
      <w:bookmarkEnd w:id="109"/>
      <w:bookmarkEnd w:id="110"/>
      <w:bookmarkEnd w:id="111"/>
    </w:p>
    <w:p>
      <w:pPr>
        <w:spacing w:line="600" w:lineRule="exact"/>
        <w:rPr>
          <w:rFonts w:eastAsia="楷体"/>
          <w:sz w:val="30"/>
          <w:szCs w:val="30"/>
        </w:rPr>
      </w:pPr>
      <w:r>
        <w:rPr>
          <w:rFonts w:eastAsia="仿宋_GB2312" w:hint="eastAsia"/>
          <w:sz w:val="30"/>
          <w:szCs w:val="30"/>
        </w:rPr>
        <w:t xml:space="preserve">    天津市津交驾驶员学校不属于乡、镇、街级单位,不涉及公开2024年度教育、医疗卫生、社会保障和就业、住房保障、涉农补贴等民生支出情况。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2" w:name="_Toc282832597"/>
      <w:bookmarkStart w:id="113" w:name="_Toc368130082"/>
      <w:bookmarkStart w:id="114" w:name="_Toc56525689"/>
      <w:bookmarkStart w:id="115" w:name="_Toc1582447786"/>
      <w:r>
        <w:rPr>
          <w:rFonts w:ascii="方正小标宋简体" w:eastAsia="方正小标宋简体" w:hAnsi="方正小标宋简体" w:cs="方正小标宋简体" w:hint="eastAsia"/>
          <w:b w:val="0"/>
        </w:rPr>
        <w:t xml:space="preserve">第四部分  名词解释</w:t>
      </w:r>
      <w:bookmarkEnd w:id="112"/>
      <w:bookmarkEnd w:id="113"/>
      <w:bookmarkEnd w:id="114"/>
      <w:bookmarkEnd w:id="115"/>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