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天津市交通教育培训中心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天津市交通教育培训中心</w:t>
      </w:r>
      <w:r>
        <w:rPr>
          <w:rFonts w:ascii="仿宋_GB2312" w:eastAsia="仿宋_GB2312" w:hint="eastAsia"/>
          <w:sz w:val="30"/>
          <w:szCs w:val="30"/>
        </w:rPr>
        <w:t xml:space="preserve">的主要职责是：</w:t>
      </w:r>
      <w:r>
        <w:rPr>
          <w:rFonts w:ascii="仿宋_GB2312" w:eastAsia="仿宋_GB2312" w:hint="eastAsia"/>
          <w:sz w:val="30"/>
          <w:szCs w:val="30"/>
        </w:rPr>
        <w:t xml:space="preserve">负责教育教学理论、 职业教学研究、开发、培训、咨询服务，相关学历教育、继续教育、教学培训、学术交流等项业务。目前从事的业务有：道路运输从业资格危险品运输及押运员初领证培训；内河船员培训；机关事业单位驾驶员培训、会计继续教育培训、工程类职称培训及安全标准化考评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天津市交通教育培训中心内设6个职能处室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天津市交通教育培训中心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天津市交通教育培训中心。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2,637,914.29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2,049,160.52</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451,422.40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163,935.36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1,244,096.49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3,293,257.01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3,253,272.05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427,923.92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-1,025,989.28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-558,080.40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-1,025,989.28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2,695,191.65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2,695,191.65</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3,293,257.01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2,049,160.52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1,244,096.49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2,677,899.25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1,433,802.76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1,244,096.49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2,677,899.25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1,433,802.76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1,244,096.49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2050399</w:t>
            </w:r>
          </w:p>
        </w:tc>
        <w:tc>
          <w:tcPr>
            <w:tcW w:w="2520" w:type="dxa"/>
            <w:tcBorders/>
            <w:vAlign w:val="center"/>
          </w:tcPr>
          <w:p>
            <w:pPr>
              <w:snapToGrid w:val="0"/>
              <w:jc w:val="left"/>
            </w:pPr>
            <w:r>
              <w:rPr>
                <w:rFonts w:ascii="宋体" w:eastAsia="宋体" w:hAnsi="宋体" w:cs="宋体"/>
                <w:b w:val="0"/>
                <w:i w:val="0"/>
                <w:color w:val="000000"/>
                <w:sz w:val="14"/>
              </w:rPr>
              <w:t xml:space="preserve">其他职业教育支出</w:t>
            </w:r>
          </w:p>
        </w:tc>
        <w:tc>
          <w:tcPr>
            <w:tcW w:w="1240" w:type="dxa"/>
            <w:tcBorders/>
            <w:vAlign w:val="center"/>
          </w:tcPr>
          <w:p>
            <w:pPr>
              <w:snapToGrid w:val="0"/>
              <w:jc w:val="right"/>
            </w:pPr>
            <w:r>
              <w:rPr>
                <w:rFonts w:ascii="宋体" w:eastAsia="宋体" w:hAnsi="宋体" w:cs="宋体"/>
                <w:b w:val="0"/>
                <w:i w:val="0"/>
                <w:color w:val="000000"/>
                <w:sz w:val="14"/>
              </w:rPr>
              <w:t xml:space="preserve">2,677,899.25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1,433,802.76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1,244,096.49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451,422.40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451,422.40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451,422.40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451,422.40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308,586.00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308,586.00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142,836.40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142,836.40</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163,935.36</w:t>
            </w: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2,695,191.65</w:t>
            </w:r>
          </w:p>
        </w:tc>
        <w:tc>
          <w:tcPr>
            <w:tcW w:w="580" w:type="dxa"/>
            <w:tcBorders/>
            <w:vAlign w:val="center"/>
          </w:tcPr>
          <w:p>
            <w:pPr>
              <w:snapToGrid w:val="0"/>
              <w:jc w:val="right"/>
            </w:pPr>
            <w:r>
              <w:rPr>
                <w:rFonts w:ascii="宋体" w:eastAsia="宋体" w:hAnsi="宋体" w:cs="宋体"/>
                <w:b w:val="0"/>
                <w:i w:val="0"/>
                <w:color w:val="000000"/>
                <w:sz w:val="9"/>
              </w:rPr>
              <w:t xml:space="preserve">3,293,257.01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2,049,160.52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1,244,096.49</w:t>
            </w: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-598,065.36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709704</w:t>
            </w:r>
          </w:p>
        </w:tc>
        <w:tc>
          <w:tcPr>
            <w:tcW w:w="1520" w:type="dxa"/>
            <w:tcBorders/>
            <w:vAlign w:val="center"/>
          </w:tcPr>
          <w:p>
            <w:pPr>
              <w:snapToGrid w:val="0"/>
              <w:jc w:val="center"/>
            </w:pPr>
            <w:r>
              <w:rPr>
                <w:rFonts w:ascii="宋体" w:eastAsia="宋体" w:hAnsi="宋体" w:cs="宋体"/>
                <w:b w:val="0"/>
                <w:i w:val="0"/>
                <w:color w:val="000000"/>
                <w:sz w:val="9"/>
              </w:rPr>
              <w:t xml:space="preserve">天津市交通教育培训中心</w:t>
            </w:r>
          </w:p>
        </w:tc>
        <w:tc>
          <w:tcPr>
            <w:tcW w:w="580" w:type="dxa"/>
            <w:tcBorders/>
            <w:vAlign w:val="center"/>
          </w:tcPr>
          <w:p>
            <w:pPr>
              <w:snapToGrid w:val="0"/>
              <w:jc w:val="right"/>
            </w:pPr>
            <w:r>
              <w:rPr>
                <w:rFonts w:ascii="宋体" w:eastAsia="宋体" w:hAnsi="宋体" w:cs="宋体"/>
                <w:b w:val="0"/>
                <w:i w:val="0"/>
                <w:color w:val="000000"/>
                <w:sz w:val="9"/>
              </w:rPr>
              <w:t xml:space="preserve">2,695,191.65</w:t>
            </w:r>
          </w:p>
        </w:tc>
        <w:tc>
          <w:tcPr>
            <w:tcW w:w="580" w:type="dxa"/>
            <w:tcBorders/>
            <w:vAlign w:val="center"/>
          </w:tcPr>
          <w:p>
            <w:pPr>
              <w:snapToGrid w:val="0"/>
              <w:jc w:val="right"/>
            </w:pPr>
            <w:r>
              <w:rPr>
                <w:rFonts w:ascii="宋体" w:eastAsia="宋体" w:hAnsi="宋体" w:cs="宋体"/>
                <w:b w:val="0"/>
                <w:i w:val="0"/>
                <w:color w:val="000000"/>
                <w:sz w:val="9"/>
              </w:rPr>
              <w:t xml:space="preserve">3,293,257.01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2,049,160.52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1,244,096.49</w:t>
            </w: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-598,065.36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-598,065.36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3,253,272.05</w:t>
            </w:r>
          </w:p>
        </w:tc>
        <w:tc>
          <w:tcPr>
            <w:tcW w:w="1320" w:type="dxa"/>
            <w:tcBorders/>
            <w:vAlign w:val="center"/>
          </w:tcPr>
          <w:p>
            <w:pPr>
              <w:snapToGrid w:val="0"/>
              <w:jc w:val="right"/>
            </w:pPr>
            <w:r>
              <w:rPr>
                <w:rFonts w:ascii="宋体" w:eastAsia="宋体" w:hAnsi="宋体" w:cs="宋体"/>
                <w:b w:val="0"/>
                <w:i w:val="0"/>
                <w:color w:val="000000"/>
                <w:sz w:val="15"/>
              </w:rPr>
              <w:t xml:space="preserve">1,672,020.41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1,581,251.64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2,637,914.29</w:t>
            </w:r>
          </w:p>
        </w:tc>
        <w:tc>
          <w:tcPr>
            <w:tcW w:w="1320" w:type="dxa"/>
            <w:tcBorders/>
            <w:vAlign w:val="center"/>
          </w:tcPr>
          <w:p>
            <w:pPr>
              <w:snapToGrid w:val="0"/>
              <w:jc w:val="right"/>
            </w:pPr>
            <w:r>
              <w:rPr>
                <w:rFonts w:ascii="宋体" w:eastAsia="宋体" w:hAnsi="宋体" w:cs="宋体"/>
                <w:b w:val="0"/>
                <w:i w:val="0"/>
                <w:color w:val="000000"/>
                <w:sz w:val="15"/>
              </w:rPr>
              <w:t xml:space="preserve">1,672,020.41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965,893.88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2,637,914.29</w:t>
            </w:r>
          </w:p>
        </w:tc>
        <w:tc>
          <w:tcPr>
            <w:tcW w:w="1320" w:type="dxa"/>
            <w:tcBorders/>
            <w:vAlign w:val="center"/>
          </w:tcPr>
          <w:p>
            <w:pPr>
              <w:snapToGrid w:val="0"/>
              <w:jc w:val="right"/>
            </w:pPr>
            <w:r>
              <w:rPr>
                <w:rFonts w:ascii="宋体" w:eastAsia="宋体" w:hAnsi="宋体" w:cs="宋体"/>
                <w:b w:val="0"/>
                <w:i w:val="0"/>
                <w:color w:val="000000"/>
                <w:sz w:val="15"/>
              </w:rPr>
              <w:t xml:space="preserve">1,672,020.41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965,893.88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2050399</w:t>
            </w:r>
          </w:p>
        </w:tc>
        <w:tc>
          <w:tcPr>
            <w:tcW w:w="4400" w:type="dxa"/>
            <w:tcBorders/>
            <w:vAlign w:val="center"/>
          </w:tcPr>
          <w:p>
            <w:pPr>
              <w:snapToGrid w:val="0"/>
              <w:jc w:val="left"/>
            </w:pPr>
            <w:r>
              <w:rPr>
                <w:rFonts w:ascii="宋体" w:eastAsia="宋体" w:hAnsi="宋体" w:cs="宋体"/>
                <w:b w:val="0"/>
                <w:i w:val="0"/>
                <w:color w:val="000000"/>
                <w:sz w:val="15"/>
              </w:rPr>
              <w:t xml:space="preserve">其他职业教育支出</w:t>
            </w:r>
          </w:p>
        </w:tc>
        <w:tc>
          <w:tcPr>
            <w:tcW w:w="1320" w:type="dxa"/>
            <w:tcBorders/>
            <w:vAlign w:val="center"/>
          </w:tcPr>
          <w:p>
            <w:pPr>
              <w:snapToGrid w:val="0"/>
              <w:jc w:val="right"/>
            </w:pPr>
            <w:r>
              <w:rPr>
                <w:rFonts w:ascii="宋体" w:eastAsia="宋体" w:hAnsi="宋体" w:cs="宋体"/>
                <w:b w:val="0"/>
                <w:i w:val="0"/>
                <w:color w:val="000000"/>
                <w:sz w:val="15"/>
              </w:rPr>
              <w:t xml:space="preserve">2,637,914.29</w:t>
            </w:r>
          </w:p>
        </w:tc>
        <w:tc>
          <w:tcPr>
            <w:tcW w:w="1320" w:type="dxa"/>
            <w:tcBorders/>
            <w:vAlign w:val="center"/>
          </w:tcPr>
          <w:p>
            <w:pPr>
              <w:snapToGrid w:val="0"/>
              <w:jc w:val="right"/>
            </w:pPr>
            <w:r>
              <w:rPr>
                <w:rFonts w:ascii="宋体" w:eastAsia="宋体" w:hAnsi="宋体" w:cs="宋体"/>
                <w:b w:val="0"/>
                <w:i w:val="0"/>
                <w:color w:val="000000"/>
                <w:sz w:val="15"/>
              </w:rPr>
              <w:t xml:space="preserve">1,672,020.41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965,893.88</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451,422.40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451,422.40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451,422.40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451,422.40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308,586.00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308,586.00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142,836.40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142,836.40</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163,935.36</w:t>
            </w: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天津市交通教育培训中心2024年度财政拨款收入支出决算总表为空表。</w:t>
      </w:r>
      <w:bookmarkStart w:id="24" w:name="_Toc524951764"/>
      <w:bookmarkStart w:id="25" w:name="_Toc1437764080"/>
      <w:bookmarkStart w:id="26" w:name="_Toc1872910203"/>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7" w:name="_Toc1169939169"/>
      <w:r>
        <w:rPr>
          <w:rFonts w:ascii="黑体" w:eastAsia="黑体" w:hAnsi="黑体" w:hint="eastAsia"/>
          <w:sz w:val="30"/>
          <w:szCs w:val="30"/>
        </w:rPr>
        <w:t xml:space="preserve">六、《一般公共预算财政拨款支出决算表》</w:t>
      </w:r>
      <w:bookmarkEnd w:id="24"/>
      <w:bookmarkEnd w:id="25"/>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p>
        </w:tc>
        <w:tc>
          <w:tcPr>
            <w:tcW w:w="348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天津市交通教育培训中心2024年度一般公共预算财政拨款支出决算表为空表。</w:t>
      </w:r>
      <w:bookmarkStart w:id="28" w:name="_Toc1014896516"/>
      <w:bookmarkStart w:id="29" w:name="_Toc1001475672"/>
      <w:bookmarkStart w:id="30" w:name="_Toc186484095"/>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807341451"/>
      <w:r>
        <w:rPr>
          <w:rFonts w:ascii="黑体" w:eastAsia="黑体" w:hAnsi="黑体" w:hint="eastAsia"/>
          <w:sz w:val="30"/>
          <w:szCs w:val="30"/>
        </w:rPr>
        <w:t xml:space="preserve">七、《一般公共预算财政拨款基本支出决算表》</w:t>
      </w:r>
      <w:bookmarkEnd w:id="28"/>
      <w:bookmarkEnd w:id="29"/>
      <w:bookmarkEnd w:id="30"/>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天津市交通教育培训中心2024年度一般公共预算财政拨款基本支出决算表为空表。</w:t>
      </w:r>
    </w:p>
    <w:p>
      <w:pPr>
        <w:pStyle w:val="Heading2"/>
        <w:spacing w:before="0" w:after="0" w:line="800" w:lineRule="exact"/>
        <w:ind w:firstLine="600" w:firstLineChars="200"/>
        <w:rPr>
          <w:rFonts w:ascii="黑体" w:eastAsia="黑体" w:hAnsi="黑体"/>
          <w:bCs w:val="0"/>
          <w:sz w:val="30"/>
          <w:szCs w:val="30"/>
        </w:rPr>
      </w:pPr>
      <w:r>
        <w:br w:type="page"/>
      </w:r>
      <w:bookmarkStart w:id="32" w:name="_Toc1059543692"/>
      <w:bookmarkStart w:id="33" w:name="_Toc1972277765"/>
      <w:bookmarkStart w:id="34" w:name="_Toc2050619938"/>
      <w:bookmarkStart w:id="35" w:name="_Toc1186085211"/>
      <w:r>
        <w:rPr>
          <w:rFonts w:ascii="黑体" w:eastAsia="黑体" w:hAnsi="黑体" w:hint="eastAsia"/>
          <w:sz w:val="30"/>
          <w:szCs w:val="30"/>
        </w:rPr>
        <w:t xml:space="preserve">八、《政府性基金预算财政拨款收入支出决算表》</w:t>
      </w:r>
      <w:bookmarkEnd w:id="32"/>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天津市交通教育培训中心2024年度政府性基金预算财政拨款收入支出决算表为空表。</w:t>
      </w:r>
      <w:bookmarkStart w:id="36" w:name="_Toc816430520"/>
      <w:bookmarkStart w:id="37" w:name="_Toc1951730910"/>
      <w:bookmarkStart w:id="38"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9" w:name="_Toc1590929823"/>
      <w:r>
        <w:rPr>
          <w:rFonts w:ascii="黑体" w:eastAsia="黑体" w:hAnsi="黑体" w:hint="eastAsia"/>
          <w:sz w:val="30"/>
          <w:szCs w:val="30"/>
        </w:rPr>
        <w:t xml:space="preserve">九、《国有资本经营预算财政拨款收入支出决算表》</w:t>
      </w:r>
      <w:bookmarkEnd w:id="36"/>
      <w:bookmarkEnd w:id="37"/>
      <w:bookmarkEnd w:id="38"/>
      <w:bookmarkEnd w:id="3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天津市交通教育培训中心2024年国有资本经营预算财政拨款收入支出决算表为空表。</w:t>
      </w:r>
      <w:bookmarkStart w:id="40" w:name="_Toc2076180092"/>
      <w:bookmarkStart w:id="41" w:name="_Toc1743858547"/>
      <w:bookmarkStart w:id="42"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43" w:name="_Toc438646364"/>
      <w:r>
        <w:rPr>
          <w:rFonts w:ascii="黑体" w:eastAsia="黑体" w:hAnsi="黑体" w:hint="eastAsia"/>
          <w:sz w:val="30"/>
          <w:szCs w:val="30"/>
        </w:rPr>
        <w:t xml:space="preserve">十、《财政拨款“三公”经费支出决算表》</w:t>
      </w:r>
      <w:bookmarkEnd w:id="40"/>
      <w:bookmarkEnd w:id="41"/>
      <w:bookmarkEnd w:id="42"/>
      <w:bookmarkEnd w:id="4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天津市交通教育培训中心2024年财政拨款“三公”经费支出决算表为空表。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44" w:name="_Toc1660810272"/>
    </w:p>
    <w:p>
      <w:pPr>
        <w:pStyle w:val="Heading2"/>
        <w:spacing w:before="0" w:after="0" w:line="800" w:lineRule="exact"/>
        <w:ind w:firstLine="600" w:firstLineChars="200"/>
        <w:rPr>
          <w:rFonts w:ascii="黑体" w:eastAsia="黑体" w:hAnsi="黑体"/>
          <w:sz w:val="30"/>
          <w:szCs w:val="30"/>
        </w:rPr>
      </w:pPr>
      <w:bookmarkStart w:id="45" w:name="_Toc18079597"/>
      <w:bookmarkStart w:id="46" w:name="_Toc173785173"/>
      <w:bookmarkStart w:id="47" w:name="_Toc2044509788"/>
      <w:r>
        <w:rPr>
          <w:rFonts w:ascii="黑体" w:eastAsia="黑体" w:hAnsi="黑体" w:hint="eastAsia"/>
          <w:sz w:val="30"/>
          <w:szCs w:val="30"/>
        </w:rPr>
        <w:t xml:space="preserve">十一、《项目支出决算表》</w:t>
      </w:r>
      <w:bookmarkEnd w:id="45"/>
      <w:bookmarkEnd w:id="46"/>
      <w:bookmarkEnd w:id="4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单位：天津市交通教育培训中心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p>
        </w:tc>
        <w:tc>
          <w:tcPr>
            <w:tcW w:w="5240" w:type="dxa"/>
            <w:tcBorders/>
            <w:vAlign w:val="center"/>
          </w:tcPr>
          <w:p>
            <w:pPr/>
          </w:p>
        </w:tc>
        <w:tc>
          <w:tcPr>
            <w:tcW w:w="116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pacing w:line="240" w:lineRule="atLeast"/>
        <w:ind w:firstLine="420" w:firstLineChars="200"/>
        <w:rPr>
          <w:rFonts w:ascii="黑体" w:eastAsia="黑体" w:hAnsi="仿宋"/>
          <w:sz w:val="21"/>
          <w:szCs w:val="21"/>
        </w:rPr>
      </w:pPr>
      <w:r>
        <w:rPr>
          <w:rFonts w:ascii="黑体" w:eastAsia="黑体" w:hAnsi="仿宋" w:hint="eastAsia"/>
          <w:sz w:val="21"/>
          <w:szCs w:val="21"/>
        </w:rPr>
        <w:t xml:space="preserve">天津市交通教育培训中心2024年项目支出决算表为空表。</w:t>
      </w:r>
    </w:p>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44"/>
      <w:bookmarkStart w:id="48" w:name="_Toc245797798"/>
      <w:bookmarkStart w:id="49" w:name="_Toc1068592552"/>
      <w:bookmarkStart w:id="50" w:name="_Toc190171269"/>
      <w:bookmarkStart w:id="51" w:name="_Toc229642691"/>
      <w:r>
        <w:rPr>
          <w:rFonts w:ascii="方正小标宋简体" w:eastAsia="方正小标宋简体" w:hAnsi="方正小标宋简体" w:cs="方正小标宋简体" w:hint="eastAsia"/>
          <w:b w:val="0"/>
        </w:rPr>
        <w:t xml:space="preserve">第三部分 2024年度部门决算情况说明</w:t>
      </w:r>
      <w:bookmarkEnd w:id="48"/>
      <w:bookmarkEnd w:id="49"/>
      <w:bookmarkEnd w:id="50"/>
      <w:bookmarkEnd w:id="51"/>
    </w:p>
    <w:p>
      <w:pPr>
        <w:pStyle w:val="Heading2"/>
        <w:spacing w:before="0" w:after="0" w:line="600" w:lineRule="exact"/>
        <w:ind w:firstLine="600" w:firstLineChars="200"/>
        <w:rPr>
          <w:rFonts w:ascii="黑体" w:eastAsia="黑体" w:hAnsi="黑体"/>
          <w:bCs w:val="0"/>
          <w:sz w:val="30"/>
          <w:szCs w:val="30"/>
        </w:rPr>
      </w:pPr>
      <w:bookmarkStart w:id="52" w:name="_Toc429281603"/>
      <w:bookmarkStart w:id="53" w:name="_Toc752851347"/>
      <w:bookmarkStart w:id="54" w:name="_Toc1512537805"/>
      <w:bookmarkStart w:id="55" w:name="_Toc576593978"/>
      <w:r>
        <w:rPr>
          <w:rFonts w:ascii="黑体" w:eastAsia="黑体" w:hAnsi="黑体" w:hint="eastAsia"/>
          <w:bCs w:val="0"/>
          <w:sz w:val="30"/>
          <w:szCs w:val="30"/>
        </w:rPr>
        <w:t xml:space="preserve">一、收入支出决算总体情况说明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天津市交通教育培训中心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2,695,191.65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减少1,795,478.86元，下降39.982%</w:t>
      </w:r>
      <w:r>
        <w:rPr>
          <w:rFonts w:eastAsia="仿宋_GB2312" w:hint="eastAsia"/>
          <w:sz w:val="30"/>
          <w:szCs w:val="30"/>
        </w:rPr>
        <w:t xml:space="preserve">，主要原因是</w:t>
      </w:r>
      <w:r>
        <w:rPr>
          <w:rFonts w:eastAsia="仿宋_GB2312" w:hint="eastAsia"/>
          <w:sz w:val="30"/>
          <w:szCs w:val="30"/>
        </w:rPr>
        <w:t xml:space="preserve">业务减少生产经营收入减少，人员费用降低，同时压降不必要开支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事业单位经营收入2,049,160.52元、其他收入1,244,096.49元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教育支出2,637,914.29元、社会保障和就业支出451,422.40元、卫生健康支出163,935.36元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6" w:name="_Toc1458959096"/>
      <w:bookmarkStart w:id="57" w:name="_Toc198940905"/>
      <w:bookmarkStart w:id="58" w:name="_Toc1538331348"/>
      <w:bookmarkStart w:id="59" w:name="_Toc1368772982"/>
      <w:r>
        <w:rPr>
          <w:rFonts w:ascii="黑体" w:eastAsia="黑体" w:hAnsi="黑体" w:cs="仿宋_GB2312" w:hint="eastAsia"/>
          <w:bCs w:val="0"/>
          <w:sz w:val="30"/>
          <w:szCs w:val="30"/>
        </w:rPr>
        <w:t xml:space="preserve">二、收入决算情况说明</w:t>
      </w:r>
      <w:bookmarkEnd w:id="56"/>
      <w:bookmarkEnd w:id="57"/>
      <w:bookmarkEnd w:id="58"/>
      <w:bookmarkEnd w:id="59"/>
    </w:p>
    <w:p>
      <w:pPr>
        <w:spacing w:line="600" w:lineRule="exact"/>
        <w:ind w:firstLine="600" w:firstLineChars="200"/>
        <w:rPr>
          <w:rFonts w:eastAsia="仿宋_GB2312"/>
          <w:sz w:val="30"/>
          <w:szCs w:val="30"/>
        </w:rPr>
      </w:pPr>
      <w:r>
        <w:rPr>
          <w:rFonts w:eastAsia="仿宋_GB2312" w:hint="eastAsia"/>
          <w:sz w:val="30"/>
          <w:szCs w:val="30"/>
        </w:rPr>
        <w:t xml:space="preserve">天津市交通教育培训中心</w:t>
      </w:r>
      <w:r>
        <w:rPr>
          <w:rFonts w:eastAsia="仿宋_GB2312" w:hint="eastAsia"/>
          <w:sz w:val="30"/>
          <w:szCs w:val="30"/>
        </w:rPr>
        <w:t xml:space="preserve">2024年度本年收入合计</w:t>
      </w:r>
      <w:r>
        <w:rPr>
          <w:rFonts w:eastAsia="仿宋_GB2312" w:hint="eastAsia"/>
          <w:sz w:val="30"/>
          <w:szCs w:val="30"/>
        </w:rPr>
        <w:t xml:space="preserve">3,293,257.01</w:t>
      </w:r>
      <w:r>
        <w:rPr>
          <w:rFonts w:eastAsia="仿宋_GB2312" w:hint="eastAsia"/>
          <w:sz w:val="30"/>
          <w:szCs w:val="30"/>
        </w:rPr>
        <w:t xml:space="preserve">元，与2023年度相比</w:t>
      </w:r>
      <w:r>
        <w:rPr>
          <w:rFonts w:eastAsia="仿宋_GB2312" w:hint="eastAsia"/>
          <w:sz w:val="30"/>
          <w:szCs w:val="30"/>
        </w:rPr>
        <w:t xml:space="preserve">减少1,023,480.94元，</w:t>
      </w:r>
      <w:r>
        <w:rPr>
          <w:rFonts w:eastAsia="仿宋_GB2312" w:hint="eastAsia"/>
          <w:sz w:val="30"/>
          <w:szCs w:val="30"/>
        </w:rPr>
        <w:t xml:space="preserve">主要原因是</w:t>
      </w:r>
      <w:r>
        <w:rPr>
          <w:rFonts w:eastAsia="仿宋_GB2312" w:hint="eastAsia"/>
          <w:sz w:val="30"/>
          <w:szCs w:val="30"/>
        </w:rPr>
        <w:t xml:space="preserve">业务减少生产经营收入减少</w:t>
      </w:r>
      <w:r>
        <w:rPr>
          <w:rFonts w:eastAsia="仿宋_GB2312" w:hint="eastAsia"/>
          <w:sz w:val="30"/>
          <w:szCs w:val="30"/>
        </w:rPr>
        <w:t xml:space="preserve">。其中：</w:t>
      </w:r>
      <w:r>
        <w:rPr>
          <w:rFonts w:eastAsia="仿宋_GB2312" w:hint="eastAsia"/>
          <w:sz w:val="30"/>
          <w:szCs w:val="30"/>
        </w:rPr>
        <w:t xml:space="preserve">事业单位经营收入2,049,160.52元，占62.220%；其他收入1,244,096.49元，占37.780%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60" w:name="_Toc757245026"/>
      <w:bookmarkStart w:id="61" w:name="_Toc1122681810"/>
      <w:bookmarkStart w:id="62" w:name="_Toc1179339603"/>
      <w:bookmarkStart w:id="63" w:name="_Toc2115235603"/>
      <w:r>
        <w:rPr>
          <w:rFonts w:ascii="黑体" w:eastAsia="黑体" w:hAnsi="黑体" w:cs="仿宋_GB2312" w:hint="eastAsia"/>
          <w:bCs w:val="0"/>
          <w:sz w:val="30"/>
          <w:szCs w:val="30"/>
        </w:rPr>
        <w:t xml:space="preserve">三、支出决算情况说明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天津市交通教育培训中心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3,253,272.05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减少608,888.32元，</w:t>
      </w:r>
      <w:r>
        <w:rPr>
          <w:rFonts w:eastAsia="仿宋_GB2312" w:hint="eastAsia"/>
          <w:sz w:val="30"/>
          <w:szCs w:val="30"/>
        </w:rPr>
        <w:t xml:space="preserve">主要原因是</w:t>
      </w:r>
      <w:r>
        <w:rPr>
          <w:rFonts w:eastAsia="仿宋_GB2312" w:hint="eastAsia"/>
          <w:sz w:val="30"/>
          <w:szCs w:val="30"/>
        </w:rPr>
        <w:t xml:space="preserve">人员费用降低，同时压降不必要开支</w:t>
      </w:r>
      <w:r>
        <w:rPr>
          <w:rFonts w:eastAsia="仿宋_GB2312" w:hint="eastAsia"/>
          <w:sz w:val="30"/>
          <w:szCs w:val="30"/>
        </w:rPr>
        <w:t xml:space="preserve">。其中：</w:t>
      </w:r>
      <w:r>
        <w:rPr>
          <w:rFonts w:eastAsia="仿宋_GB2312" w:hint="eastAsia"/>
          <w:sz w:val="30"/>
          <w:szCs w:val="30"/>
        </w:rPr>
        <w:t xml:space="preserve">基本支出1,672,020.41元，占51.400%；经营支出1,581,251.64元，占48.600%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64" w:name="_Toc1121858128"/>
      <w:bookmarkStart w:id="65" w:name="_Toc2034129458"/>
      <w:bookmarkStart w:id="66" w:name="_Toc1029059860"/>
      <w:bookmarkStart w:id="67" w:name="_Toc1320487183"/>
      <w:r>
        <w:rPr>
          <w:rFonts w:ascii="黑体" w:eastAsia="黑体" w:hAnsi="黑体" w:hint="eastAsia"/>
          <w:bCs w:val="0"/>
          <w:sz w:val="30"/>
          <w:szCs w:val="30"/>
        </w:rPr>
        <w:t xml:space="preserve">四、财政拨款收支决算总体情况说明</w:t>
      </w:r>
      <w:bookmarkEnd w:id="64"/>
      <w:bookmarkEnd w:id="65"/>
      <w:bookmarkEnd w:id="66"/>
      <w:bookmarkEnd w:id="67"/>
    </w:p>
    <w:p>
      <w:pPr>
        <w:spacing w:line="600" w:lineRule="exact"/>
        <w:ind w:firstLine="600"/>
        <w:rPr>
          <w:rFonts w:eastAsia="仿宋_GB2312"/>
          <w:sz w:val="30"/>
          <w:szCs w:val="30"/>
        </w:rPr>
      </w:pPr>
      <w:r>
        <w:rPr>
          <w:rFonts w:eastAsia="仿宋_GB2312" w:hint="eastAsia"/>
          <w:sz w:val="30"/>
          <w:szCs w:val="30"/>
        </w:rPr>
        <w:t xml:space="preserve">天津市交通教育培训中心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0.00</w:t>
      </w:r>
      <w:r>
        <w:rPr>
          <w:rFonts w:eastAsia="仿宋_GB2312" w:hint="eastAsia"/>
          <w:sz w:val="30"/>
          <w:szCs w:val="30"/>
        </w:rPr>
        <w:t xml:space="preserve">元。与2023年度相比，财政拨款收、支总计各</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自收自支单位无财政拨款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8" w:name="_Toc1723257729"/>
      <w:bookmarkStart w:id="69" w:name="_Toc163136636"/>
      <w:bookmarkStart w:id="70" w:name="_Toc1332076583"/>
      <w:bookmarkStart w:id="71" w:name="_Toc1821624013"/>
      <w:r>
        <w:rPr>
          <w:rFonts w:ascii="黑体" w:eastAsia="黑体" w:hAnsi="黑体" w:cs="仿宋_GB2312" w:hint="eastAsia"/>
          <w:sz w:val="30"/>
          <w:szCs w:val="30"/>
        </w:rPr>
        <w:t xml:space="preserve">五、一般公共预算财政拨款支出决算情况说明</w:t>
      </w:r>
      <w:bookmarkEnd w:id="68"/>
      <w:bookmarkEnd w:id="69"/>
      <w:bookmarkEnd w:id="70"/>
      <w:bookmarkEnd w:id="71"/>
    </w:p>
    <w:p>
      <w:pPr>
        <w:spacing w:line="600" w:lineRule="exact"/>
        <w:ind w:firstLine="600" w:firstLineChars="200"/>
        <w:rPr>
          <w:rFonts w:eastAsia="仿宋_GB2312"/>
          <w:sz w:val="30"/>
          <w:szCs w:val="30"/>
        </w:rPr>
      </w:pPr>
      <w:r>
        <w:rPr>
          <w:rFonts w:eastAsia="仿宋_GB2312" w:hint="eastAsia"/>
          <w:sz w:val="30"/>
          <w:szCs w:val="30"/>
        </w:rPr>
        <w:t xml:space="preserve">天津市交通教育培训中心2024年度无一般公共预算财政拨款收入、支出和结转结余。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2" w:name="_Toc1648307680"/>
      <w:bookmarkStart w:id="73" w:name="_Toc1507914859"/>
      <w:bookmarkStart w:id="74" w:name="_Toc1828187861"/>
      <w:bookmarkStart w:id="75" w:name="_Toc1127616914"/>
      <w:r>
        <w:rPr>
          <w:rFonts w:ascii="黑体" w:eastAsia="黑体" w:hAnsi="黑体" w:cs="仿宋_GB2312" w:hint="eastAsia"/>
          <w:sz w:val="30"/>
          <w:szCs w:val="30"/>
        </w:rPr>
        <w:t xml:space="preserve">六、一般公共预算财政拨款基本支出决算情况说明</w:t>
      </w:r>
      <w:bookmarkEnd w:id="72"/>
      <w:bookmarkEnd w:id="73"/>
      <w:bookmarkEnd w:id="74"/>
      <w:bookmarkEnd w:id="75"/>
    </w:p>
    <w:p>
      <w:pPr>
        <w:spacing w:line="600" w:lineRule="exact"/>
        <w:ind w:firstLine="600" w:firstLineChars="200"/>
        <w:rPr>
          <w:rFonts w:eastAsia="仿宋_GB2312"/>
          <w:sz w:val="30"/>
          <w:szCs w:val="30"/>
        </w:rPr>
      </w:pPr>
      <w:r>
        <w:rPr>
          <w:rFonts w:eastAsia="仿宋_GB2312" w:hint="eastAsia"/>
          <w:sz w:val="30"/>
          <w:szCs w:val="30"/>
        </w:rPr>
        <w:t xml:space="preserve">天津市交通教育培训中心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增加0.00元，</w:t>
      </w:r>
      <w:r>
        <w:rPr>
          <w:rFonts w:eastAsia="仿宋_GB2312" w:hint="eastAsia"/>
          <w:sz w:val="30"/>
          <w:szCs w:val="30"/>
        </w:rPr>
        <w:t xml:space="preserve">主要原因是</w:t>
      </w:r>
      <w:r>
        <w:rPr>
          <w:rFonts w:eastAsia="仿宋_GB2312" w:hint="eastAsia"/>
          <w:sz w:val="30"/>
          <w:szCs w:val="30"/>
        </w:rPr>
        <w:t xml:space="preserve">自收自支单位无一般公共预算财政拨款</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6" w:name="_Toc568131460"/>
      <w:bookmarkStart w:id="77" w:name="_Toc157358551"/>
      <w:bookmarkStart w:id="78" w:name="_Toc314288823"/>
      <w:bookmarkStart w:id="79" w:name="_Toc1070516966"/>
      <w:r>
        <w:rPr>
          <w:rFonts w:ascii="黑体" w:eastAsia="黑体" w:hAnsi="黑体" w:cs="仿宋_GB2312" w:hint="eastAsia"/>
          <w:sz w:val="30"/>
          <w:szCs w:val="30"/>
        </w:rPr>
        <w:t xml:space="preserve">七、政府性基金预算财政拨款收支决算情况说明</w:t>
      </w:r>
      <w:bookmarkEnd w:id="76"/>
      <w:bookmarkEnd w:id="77"/>
      <w:bookmarkEnd w:id="78"/>
      <w:bookmarkEnd w:id="79"/>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天津市交通教育培训中心2024年度无政府性基金预算财政拨款收入、支出和结转结余。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0" w:name="_Toc1172797200"/>
      <w:bookmarkStart w:id="81" w:name="_Toc560652996"/>
      <w:bookmarkStart w:id="82" w:name="_Toc873153658"/>
      <w:bookmarkStart w:id="83" w:name="_Toc1589960188"/>
      <w:r>
        <w:rPr>
          <w:rFonts w:ascii="黑体" w:eastAsia="黑体" w:hAnsi="黑体" w:cs="仿宋_GB2312" w:hint="eastAsia"/>
          <w:sz w:val="30"/>
          <w:szCs w:val="30"/>
        </w:rPr>
        <w:t xml:space="preserve">八、国有资本经营预算财政拨款收支决算情况说明</w:t>
      </w:r>
      <w:bookmarkEnd w:id="80"/>
      <w:bookmarkEnd w:id="81"/>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天津市交通教育培训中心2024年度无国有资本经营预算财政拨款收入、支出和结转结余。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84" w:name="_Toc1884144383"/>
      <w:bookmarkStart w:id="85" w:name="_Toc1337770055"/>
      <w:bookmarkStart w:id="86" w:name="_Toc1321860095"/>
      <w:bookmarkStart w:id="87" w:name="_Toc1597628234"/>
      <w:r>
        <w:rPr>
          <w:rFonts w:ascii="黑体" w:eastAsia="黑体" w:hAnsi="黑体" w:cs="仿宋_GB2312" w:hint="eastAsia"/>
          <w:sz w:val="30"/>
          <w:szCs w:val="30"/>
        </w:rPr>
        <w:t xml:space="preserve">九、财政拨款“三公”经费支出决算情况说明</w:t>
      </w:r>
      <w:bookmarkEnd w:id="84"/>
      <w:bookmarkEnd w:id="85"/>
      <w:bookmarkEnd w:id="86"/>
      <w:bookmarkEnd w:id="87"/>
    </w:p>
    <w:p>
      <w:pPr>
        <w:spacing w:line="600" w:lineRule="exact"/>
        <w:ind w:firstLine="600" w:firstLineChars="200"/>
        <w:rPr>
          <w:rFonts w:ascii="楷体" w:eastAsia="楷体" w:hAnsi="楷体" w:cs="楷体"/>
          <w:b/>
          <w:bCs/>
          <w:sz w:val="30"/>
          <w:szCs w:val="30"/>
        </w:rPr>
      </w:pPr>
      <w:bookmarkStart w:id="88" w:name="_Toc784288450"/>
      <w:bookmarkStart w:id="89" w:name="_Toc99152753"/>
      <w:r>
        <w:rPr>
          <w:rFonts w:ascii="楷体" w:eastAsia="楷体" w:hAnsi="楷体" w:cs="楷体" w:hint="eastAsia"/>
          <w:b/>
          <w:bCs/>
          <w:sz w:val="30"/>
          <w:szCs w:val="30"/>
        </w:rPr>
        <w:t xml:space="preserve">（一）总体情况</w:t>
      </w:r>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决算数较上年持平的主要原因是本年度与上年度未用财政拨款经费列支“三公”经费。</w:t>
      </w:r>
    </w:p>
    <w:p>
      <w:pPr>
        <w:spacing w:line="600" w:lineRule="exact"/>
        <w:ind w:firstLine="600" w:firstLineChars="200"/>
        <w:rPr>
          <w:rFonts w:ascii="楷体" w:eastAsia="楷体" w:hAnsi="楷体" w:cs="楷体"/>
          <w:b/>
          <w:bCs/>
          <w:sz w:val="30"/>
          <w:szCs w:val="30"/>
        </w:rPr>
      </w:pPr>
      <w:bookmarkStart w:id="90" w:name="_Toc281353864"/>
      <w:bookmarkStart w:id="91" w:name="_Toc13009599"/>
      <w:r>
        <w:rPr>
          <w:rFonts w:ascii="楷体" w:eastAsia="楷体" w:hAnsi="楷体" w:cs="楷体" w:hint="eastAsia"/>
          <w:b/>
          <w:bCs/>
          <w:sz w:val="30"/>
          <w:szCs w:val="30"/>
        </w:rPr>
        <w:t xml:space="preserve">（二）具体情况</w:t>
      </w:r>
      <w:bookmarkEnd w:id="90"/>
      <w:bookmarkEnd w:id="91"/>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决算数较上年持平的主要原因是本年度与上年度未用财政拨款经费列支因公出国（境）费。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决算数较上年持平的主要原因是本年度与上年度未用财政拨款经费列支公务用车购置及运行维护费。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决算数较上年持平的主要原因是本年度与上年度未用财政拨款经费列支公务用车运行维护费。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决算数较上年持平的主要原因是本年度与上年度未用财政拨款经费列支公务用车购置费。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决算数较上年持平的主要原因是本年度与上年度未用财政拨款经费列支公务接待费。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92" w:name="_Toc1349690397"/>
      <w:bookmarkStart w:id="93" w:name="_Toc2102885201"/>
      <w:bookmarkStart w:id="94" w:name="_Toc1895013942"/>
      <w:bookmarkStart w:id="95" w:name="_Toc20786419"/>
      <w:r>
        <w:rPr>
          <w:rFonts w:ascii="黑体" w:eastAsia="黑体" w:hAnsi="黑体" w:cs="仿宋_GB2312" w:hint="eastAsia"/>
          <w:sz w:val="30"/>
          <w:szCs w:val="30"/>
        </w:rPr>
        <w:t xml:space="preserve">十、机关运行经费支出情况说明</w:t>
      </w:r>
      <w:bookmarkEnd w:id="92"/>
      <w:bookmarkEnd w:id="93"/>
      <w:bookmarkEnd w:id="94"/>
      <w:bookmarkEnd w:id="95"/>
    </w:p>
    <w:p>
      <w:pPr>
        <w:spacing w:line="600" w:lineRule="exact"/>
        <w:ind w:firstLine="600" w:firstLineChars="200"/>
        <w:rPr>
          <w:rFonts w:eastAsia="仿宋_GB2312"/>
          <w:sz w:val="30"/>
          <w:szCs w:val="30"/>
        </w:rPr>
      </w:pPr>
      <w:r>
        <w:rPr>
          <w:rFonts w:eastAsia="仿宋_GB2312" w:hint="eastAsia"/>
          <w:sz w:val="30"/>
          <w:szCs w:val="30"/>
        </w:rPr>
        <w:t xml:space="preserve">天津市交通教育培训中心2024年度无机关运行经费。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6" w:name="_Toc376739118"/>
      <w:bookmarkStart w:id="97" w:name="_Toc2053194528"/>
      <w:bookmarkStart w:id="98" w:name="_Toc1464993319"/>
      <w:bookmarkStart w:id="99" w:name="_Toc169354537"/>
      <w:r>
        <w:rPr>
          <w:rFonts w:ascii="黑体" w:eastAsia="黑体" w:hAnsi="黑体" w:cs="仿宋_GB2312" w:hint="eastAsia"/>
          <w:sz w:val="30"/>
          <w:szCs w:val="30"/>
        </w:rPr>
        <w:t xml:space="preserve">十一、政府采购支出情况说明</w:t>
      </w:r>
      <w:bookmarkEnd w:id="96"/>
      <w:bookmarkEnd w:id="97"/>
      <w:bookmarkEnd w:id="98"/>
      <w:bookmarkEnd w:id="99"/>
    </w:p>
    <w:p>
      <w:pPr>
        <w:spacing w:line="600" w:lineRule="exact"/>
        <w:ind w:firstLine="600" w:firstLineChars="200"/>
        <w:jc w:val="both"/>
        <w:rPr>
          <w:rFonts w:eastAsia="仿宋_GB2312"/>
          <w:sz w:val="30"/>
          <w:szCs w:val="30"/>
        </w:rPr>
      </w:pPr>
      <w:r>
        <w:rPr>
          <w:rFonts w:eastAsia="仿宋_GB2312" w:hint="eastAsia"/>
          <w:sz w:val="30"/>
          <w:szCs w:val="30"/>
        </w:rPr>
        <w:t xml:space="preserve">天津市交通教育培训中心2024年度无政府采购支出。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100" w:name="_Toc125708453"/>
      <w:bookmarkStart w:id="101" w:name="_Toc1072564870"/>
      <w:bookmarkStart w:id="102" w:name="_Toc925871084"/>
      <w:bookmarkStart w:id="103" w:name="_Toc1242699578"/>
      <w:r>
        <w:rPr>
          <w:rFonts w:ascii="黑体" w:eastAsia="黑体" w:hAnsi="黑体" w:cs="仿宋_GB2312" w:hint="eastAsia"/>
          <w:sz w:val="30"/>
          <w:szCs w:val="30"/>
        </w:rPr>
        <w:t xml:space="preserve">十二、国有资产占有使用情况说明</w:t>
      </w:r>
      <w:bookmarkEnd w:id="100"/>
      <w:bookmarkEnd w:id="101"/>
      <w:bookmarkEnd w:id="102"/>
      <w:bookmarkEnd w:id="103"/>
    </w:p>
    <w:p>
      <w:pPr>
        <w:spacing w:line="600" w:lineRule="exact"/>
        <w:ind w:firstLine="600" w:firstLineChars="200"/>
        <w:jc w:val="both"/>
        <w:rPr>
          <w:rFonts w:eastAsia="仿宋_GB2312"/>
          <w:sz w:val="30"/>
          <w:szCs w:val="30"/>
        </w:rPr>
      </w:pPr>
      <w:bookmarkStart w:id="104" w:name="_Toc620037172"/>
      <w:r>
        <w:rPr>
          <w:rFonts w:eastAsia="仿宋_GB2312" w:hint="eastAsia"/>
          <w:sz w:val="30"/>
          <w:szCs w:val="30"/>
        </w:rPr>
        <w:t xml:space="preserve">截至2024年12月31日，天津市交通教育培训中心共有车辆3辆</w:t>
      </w:r>
      <w:r>
        <w:rPr>
          <w:rFonts w:eastAsia="仿宋_GB2312" w:hint="eastAsia"/>
          <w:sz w:val="30"/>
          <w:szCs w:val="30"/>
        </w:rPr>
        <w:t xml:space="preserve">，其中：</w:t>
      </w:r>
      <w:r>
        <w:rPr>
          <w:rFonts w:eastAsia="仿宋_GB2312" w:hint="eastAsia"/>
          <w:sz w:val="30"/>
          <w:szCs w:val="30"/>
        </w:rPr>
        <w:t xml:space="preserve">其他用车3辆</w:t>
      </w:r>
      <w:r>
        <w:rPr>
          <w:rFonts w:eastAsia="仿宋_GB2312" w:hint="eastAsia"/>
          <w:sz w:val="30"/>
          <w:szCs w:val="30"/>
        </w:rPr>
        <w:t xml:space="preserve">，其他用车主要包括公务用车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5" w:name="_Toc448802626"/>
      <w:bookmarkStart w:id="106" w:name="_Toc1773340371"/>
      <w:bookmarkStart w:id="107" w:name="_Toc1805544570"/>
      <w:r>
        <w:rPr>
          <w:rFonts w:ascii="黑体" w:eastAsia="黑体" w:hAnsi="黑体" w:cs="仿宋_GB2312" w:hint="eastAsia"/>
          <w:sz w:val="30"/>
          <w:szCs w:val="30"/>
        </w:rPr>
        <w:t xml:space="preserve">十三、预算绩效情况说明</w:t>
      </w:r>
      <w:bookmarkEnd w:id="104"/>
      <w:bookmarkEnd w:id="105"/>
      <w:bookmarkEnd w:id="106"/>
      <w:bookmarkEnd w:id="107"/>
    </w:p>
    <w:p>
      <w:pPr>
        <w:spacing w:line="600" w:lineRule="exact"/>
        <w:jc w:val="both"/>
        <w:rPr>
          <w:rFonts w:eastAsia="仿宋_GB2312"/>
          <w:sz w:val="30"/>
          <w:szCs w:val="30"/>
        </w:rPr>
      </w:pPr>
      <w:r>
        <w:rPr>
          <w:rFonts w:eastAsia="仿宋_GB2312" w:hint="eastAsia"/>
          <w:sz w:val="30"/>
          <w:szCs w:val="30"/>
        </w:rPr>
        <w:t xml:space="preserve">    天津市交通教育培训中心2024年度没有项目支出,无需开展绩效自评。</w:t>
      </w:r>
    </w:p>
    <w:p>
      <w:pPr>
        <w:pStyle w:val="Heading2"/>
        <w:spacing w:before="0" w:after="0" w:line="600" w:lineRule="exact"/>
        <w:ind w:firstLine="600" w:firstLineChars="200"/>
        <w:rPr>
          <w:rFonts w:ascii="黑体" w:eastAsia="黑体" w:hAnsi="黑体" w:cs="仿宋_GB2312"/>
          <w:sz w:val="30"/>
          <w:szCs w:val="30"/>
        </w:rPr>
      </w:pPr>
      <w:bookmarkStart w:id="108" w:name="_Toc1063166918"/>
      <w:bookmarkStart w:id="109" w:name="_Toc1843655880"/>
      <w:bookmarkStart w:id="110" w:name="_Toc1753562331"/>
      <w:bookmarkStart w:id="111" w:name="_Toc1374094560"/>
      <w:r>
        <w:rPr>
          <w:rFonts w:ascii="黑体" w:eastAsia="黑体" w:hAnsi="黑体" w:cs="仿宋_GB2312" w:hint="eastAsia"/>
          <w:sz w:val="30"/>
          <w:szCs w:val="30"/>
        </w:rPr>
        <w:t xml:space="preserve">十四、教育、医疗卫生、社会保障和就业、住房保障、涉农补贴等民生支出情况说明</w:t>
      </w:r>
      <w:bookmarkEnd w:id="108"/>
      <w:bookmarkEnd w:id="109"/>
      <w:bookmarkEnd w:id="110"/>
      <w:bookmarkEnd w:id="111"/>
    </w:p>
    <w:p>
      <w:pPr>
        <w:spacing w:line="600" w:lineRule="exact"/>
        <w:rPr>
          <w:rFonts w:eastAsia="楷体"/>
          <w:sz w:val="30"/>
          <w:szCs w:val="30"/>
        </w:rPr>
      </w:pPr>
      <w:r>
        <w:rPr>
          <w:rFonts w:eastAsia="仿宋_GB2312" w:hint="eastAsia"/>
          <w:sz w:val="30"/>
          <w:szCs w:val="30"/>
        </w:rPr>
        <w:t xml:space="preserve">    天津市交通教育培训中心不属于乡、镇、街级单位,不涉及公开2024年度教育、医疗卫生、社会保障和就业、住房保障、涉农补贴等民生支出情况。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12" w:name="_Toc282832597"/>
      <w:bookmarkStart w:id="113" w:name="_Toc368130082"/>
      <w:bookmarkStart w:id="114" w:name="_Toc56525689"/>
      <w:bookmarkStart w:id="115" w:name="_Toc1582447786"/>
      <w:r>
        <w:rPr>
          <w:rFonts w:ascii="方正小标宋简体" w:eastAsia="方正小标宋简体" w:hAnsi="方正小标宋简体" w:cs="方正小标宋简体" w:hint="eastAsia"/>
          <w:b w:val="0"/>
        </w:rPr>
        <w:t xml:space="preserve">第四部分  名词解释</w:t>
      </w:r>
      <w:bookmarkEnd w:id="112"/>
      <w:bookmarkEnd w:id="113"/>
      <w:bookmarkEnd w:id="114"/>
      <w:bookmarkEnd w:id="115"/>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