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天津市交通与物流协会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天津市交通与物流协会</w:t>
      </w:r>
      <w:r>
        <w:rPr>
          <w:rFonts w:ascii="仿宋_GB2312" w:eastAsia="仿宋_GB2312" w:hint="eastAsia"/>
          <w:sz w:val="30"/>
          <w:szCs w:val="30"/>
        </w:rPr>
        <w:t xml:space="preserve">的主要职责是：</w:t>
      </w:r>
      <w:r>
        <w:rPr>
          <w:rFonts w:ascii="仿宋_GB2312" w:eastAsia="仿宋_GB2312" w:hint="eastAsia"/>
          <w:sz w:val="30"/>
          <w:szCs w:val="30"/>
        </w:rPr>
        <w:t xml:space="preserve">本单位为社会团体，开展业务为课题调研、咨询服务、人员培训、刊物出版、认证、网站、交流合作等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天津市交通与物流协会内设4个职能处室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天津市交通与物流协会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天津市交通与物流协会</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5,000.00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126,000.00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310,596.86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409,429.79</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441,596.86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409,429.79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32,167.07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441,596.86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441,596.86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441,596.86</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310,596.86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441,596.86</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310,596.86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441,596.86</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310,596.86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2140199</w:t>
            </w:r>
          </w:p>
        </w:tc>
        <w:tc>
          <w:tcPr>
            <w:tcW w:w="2520" w:type="dxa"/>
            <w:tcBorders/>
            <w:vAlign w:val="center"/>
          </w:tcPr>
          <w:p>
            <w:pPr>
              <w:snapToGrid w:val="0"/>
              <w:jc w:val="left"/>
            </w:pPr>
            <w:r>
              <w:rPr>
                <w:rFonts w:ascii="宋体" w:eastAsia="宋体" w:hAnsi="宋体" w:cs="宋体"/>
                <w:b w:val="0"/>
                <w:i w:val="0"/>
                <w:color w:val="000000"/>
                <w:sz w:val="14"/>
              </w:rPr>
              <w:t xml:space="preserve">其他公路水路运输支出</w:t>
            </w:r>
          </w:p>
        </w:tc>
        <w:tc>
          <w:tcPr>
            <w:tcW w:w="1240" w:type="dxa"/>
            <w:tcBorders/>
            <w:vAlign w:val="center"/>
          </w:tcPr>
          <w:p>
            <w:pPr>
              <w:snapToGrid w:val="0"/>
              <w:jc w:val="right"/>
            </w:pPr>
            <w:r>
              <w:rPr>
                <w:rFonts w:ascii="宋体" w:eastAsia="宋体" w:hAnsi="宋体" w:cs="宋体"/>
                <w:b w:val="0"/>
                <w:i w:val="0"/>
                <w:color w:val="000000"/>
                <w:sz w:val="14"/>
              </w:rPr>
              <w:t xml:space="preserve">441,596.86</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310,596.86</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441,596.86</w:t>
            </w:r>
          </w:p>
        </w:tc>
        <w:tc>
          <w:tcPr>
            <w:tcW w:w="580" w:type="dxa"/>
            <w:tcBorders/>
            <w:vAlign w:val="center"/>
          </w:tcPr>
          <w:p>
            <w:pPr>
              <w:snapToGrid w:val="0"/>
              <w:jc w:val="right"/>
            </w:pPr>
            <w:r>
              <w:rPr>
                <w:rFonts w:ascii="宋体" w:eastAsia="宋体" w:hAnsi="宋体" w:cs="宋体"/>
                <w:b w:val="0"/>
                <w:i w:val="0"/>
                <w:color w:val="000000"/>
                <w:sz w:val="9"/>
              </w:rPr>
              <w:t xml:space="preserve">441,596.86</w:t>
            </w:r>
          </w:p>
        </w:tc>
        <w:tc>
          <w:tcPr>
            <w:tcW w:w="580" w:type="dxa"/>
            <w:tcBorders/>
            <w:vAlign w:val="center"/>
          </w:tcPr>
          <w:p>
            <w:pPr>
              <w:snapToGrid w:val="0"/>
              <w:jc w:val="right"/>
            </w:pPr>
            <w:r>
              <w:rPr>
                <w:rFonts w:ascii="宋体" w:eastAsia="宋体" w:hAnsi="宋体" w:cs="宋体"/>
                <w:b w:val="0"/>
                <w:i w:val="0"/>
                <w:color w:val="000000"/>
                <w:sz w:val="9"/>
              </w:rPr>
              <w:t xml:space="preserve">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310,596.86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709204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天津市交通与物流协会</w:t>
            </w:r>
          </w:p>
        </w:tc>
        <w:tc>
          <w:tcPr>
            <w:tcW w:w="580" w:type="dxa"/>
            <w:tcBorders/>
            <w:vAlign w:val="center"/>
          </w:tcPr>
          <w:p>
            <w:pPr>
              <w:snapToGrid w:val="0"/>
              <w:jc w:val="right"/>
            </w:pPr>
            <w:r>
              <w:rPr>
                <w:rFonts w:ascii="宋体" w:eastAsia="宋体" w:hAnsi="宋体" w:cs="宋体"/>
                <w:b w:val="0"/>
                <w:i w:val="0"/>
                <w:color w:val="000000"/>
                <w:sz w:val="9"/>
              </w:rPr>
              <w:t xml:space="preserve">441,596.86</w:t>
            </w:r>
          </w:p>
        </w:tc>
        <w:tc>
          <w:tcPr>
            <w:tcW w:w="580" w:type="dxa"/>
            <w:tcBorders/>
            <w:vAlign w:val="center"/>
          </w:tcPr>
          <w:p>
            <w:pPr>
              <w:snapToGrid w:val="0"/>
              <w:jc w:val="right"/>
            </w:pPr>
            <w:r>
              <w:rPr>
                <w:rFonts w:ascii="宋体" w:eastAsia="宋体" w:hAnsi="宋体" w:cs="宋体"/>
                <w:b w:val="0"/>
                <w:i w:val="0"/>
                <w:color w:val="000000"/>
                <w:sz w:val="9"/>
              </w:rPr>
              <w:t xml:space="preserve">441,596.86</w:t>
            </w:r>
          </w:p>
        </w:tc>
        <w:tc>
          <w:tcPr>
            <w:tcW w:w="580" w:type="dxa"/>
            <w:tcBorders/>
            <w:vAlign w:val="center"/>
          </w:tcPr>
          <w:p>
            <w:pPr>
              <w:snapToGrid w:val="0"/>
              <w:jc w:val="right"/>
            </w:pPr>
            <w:r>
              <w:rPr>
                <w:rFonts w:ascii="宋体" w:eastAsia="宋体" w:hAnsi="宋体" w:cs="宋体"/>
                <w:b w:val="0"/>
                <w:i w:val="0"/>
                <w:color w:val="000000"/>
                <w:sz w:val="9"/>
              </w:rPr>
              <w:t xml:space="preserve">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126,000.00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310,596.86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2140199</w:t>
            </w:r>
          </w:p>
        </w:tc>
        <w:tc>
          <w:tcPr>
            <w:tcW w:w="4400" w:type="dxa"/>
            <w:tcBorders/>
            <w:vAlign w:val="center"/>
          </w:tcPr>
          <w:p>
            <w:pPr>
              <w:snapToGrid w:val="0"/>
              <w:jc w:val="left"/>
            </w:pPr>
            <w:r>
              <w:rPr>
                <w:rFonts w:ascii="宋体" w:eastAsia="宋体" w:hAnsi="宋体" w:cs="宋体"/>
                <w:b w:val="0"/>
                <w:i w:val="0"/>
                <w:color w:val="000000"/>
                <w:sz w:val="15"/>
              </w:rPr>
              <w:t xml:space="preserve">其他公路水路运输支出</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snapToGrid w:val="0"/>
              <w:jc w:val="right"/>
            </w:pPr>
            <w:r>
              <w:rPr>
                <w:rFonts w:ascii="宋体" w:eastAsia="宋体" w:hAnsi="宋体" w:cs="宋体"/>
                <w:b w:val="0"/>
                <w:i w:val="0"/>
                <w:color w:val="000000"/>
                <w:sz w:val="15"/>
              </w:rPr>
              <w:t xml:space="preserve">409,429.79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snapToGrid w:val="0"/>
              <w:jc w:val="right"/>
            </w:pPr>
            <w:r>
              <w:rPr>
                <w:rFonts w:ascii="宋体" w:eastAsia="宋体" w:hAnsi="宋体" w:cs="宋体"/>
                <w:b w:val="0"/>
                <w:i w:val="0"/>
                <w:color w:val="000000"/>
                <w:sz w:val="16"/>
              </w:rPr>
              <w:t xml:space="preserve">5,000.00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2140199</w:t>
            </w:r>
          </w:p>
        </w:tc>
        <w:tc>
          <w:tcPr>
            <w:tcW w:w="3480" w:type="dxa"/>
            <w:tcBorders/>
            <w:vAlign w:val="center"/>
          </w:tcPr>
          <w:p>
            <w:pPr>
              <w:snapToGrid w:val="0"/>
              <w:jc w:val="left"/>
            </w:pPr>
            <w:r>
              <w:rPr>
                <w:rFonts w:ascii="宋体" w:eastAsia="宋体" w:hAnsi="宋体" w:cs="宋体"/>
                <w:b w:val="0"/>
                <w:i w:val="0"/>
                <w:color w:val="000000"/>
                <w:sz w:val="20"/>
              </w:rPr>
              <w:t xml:space="preserve">其他公路水路运输支出</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天津市交通与物流协会2024年度政府性基金预算财政拨款收入支出决算表为空表。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天津市交通与物流协会2024年国有资本经营预算财政拨款收入支出决算表为空表。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天津市交通与物流协会2024年财政拨款“三公”经费支出决算表为空表。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单位：天津市交通与物流协会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天津市交通与物流协会2024年项目支出决算表为空表。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天津市交通与物流协会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441,596.86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减少261,697.97元，下降37.210%</w:t>
      </w:r>
      <w:r>
        <w:rPr>
          <w:rFonts w:eastAsia="仿宋_GB2312" w:hint="eastAsia"/>
          <w:sz w:val="30"/>
          <w:szCs w:val="30"/>
        </w:rPr>
        <w:t xml:space="preserve">，主要原因是</w:t>
      </w:r>
      <w:r>
        <w:rPr>
          <w:rFonts w:eastAsia="仿宋_GB2312" w:hint="eastAsia"/>
          <w:sz w:val="30"/>
          <w:szCs w:val="30"/>
        </w:rPr>
        <w:t xml:space="preserve">上年度收入总计含有年初结转结余，并在结转结余中列支支出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一般公共预算财政拨款收入5,000.00元、事业收入126,000.00元、其他收入310,596.86元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交通运输支出409,429.79元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天津市交通与物流协会</w:t>
      </w:r>
      <w:r>
        <w:rPr>
          <w:rFonts w:eastAsia="仿宋_GB2312" w:hint="eastAsia"/>
          <w:sz w:val="30"/>
          <w:szCs w:val="30"/>
        </w:rPr>
        <w:t xml:space="preserve">2024年度本年收入合计</w:t>
      </w:r>
      <w:r>
        <w:rPr>
          <w:rFonts w:eastAsia="仿宋_GB2312" w:hint="eastAsia"/>
          <w:sz w:val="30"/>
          <w:szCs w:val="30"/>
        </w:rPr>
        <w:t xml:space="preserve">441,596.86</w:t>
      </w:r>
      <w:r>
        <w:rPr>
          <w:rFonts w:eastAsia="仿宋_GB2312" w:hint="eastAsia"/>
          <w:sz w:val="30"/>
          <w:szCs w:val="30"/>
        </w:rPr>
        <w:t xml:space="preserve">元，与2023年度相比</w:t>
      </w:r>
      <w:r>
        <w:rPr>
          <w:rFonts w:eastAsia="仿宋_GB2312" w:hint="eastAsia"/>
          <w:sz w:val="30"/>
          <w:szCs w:val="30"/>
        </w:rPr>
        <w:t xml:space="preserve">减少123,572.72元，</w:t>
      </w:r>
      <w:r>
        <w:rPr>
          <w:rFonts w:eastAsia="仿宋_GB2312" w:hint="eastAsia"/>
          <w:sz w:val="30"/>
          <w:szCs w:val="30"/>
        </w:rPr>
        <w:t xml:space="preserve">主要原因是</w:t>
      </w:r>
      <w:r>
        <w:rPr>
          <w:rFonts w:eastAsia="仿宋_GB2312" w:hint="eastAsia"/>
          <w:sz w:val="30"/>
          <w:szCs w:val="30"/>
        </w:rPr>
        <w:t xml:space="preserve">上年度收入总计含有年初结转结余</w:t>
      </w:r>
      <w:r>
        <w:rPr>
          <w:rFonts w:eastAsia="仿宋_GB2312" w:hint="eastAsia"/>
          <w:sz w:val="30"/>
          <w:szCs w:val="30"/>
        </w:rPr>
        <w:t xml:space="preserve">。其中：</w:t>
      </w:r>
      <w:r>
        <w:rPr>
          <w:rFonts w:eastAsia="仿宋_GB2312" w:hint="eastAsia"/>
          <w:sz w:val="30"/>
          <w:szCs w:val="30"/>
        </w:rPr>
        <w:t xml:space="preserve">一般公共预算财政拨款收入5,000.00元，占1.130%；事业收入126,000.00元，占28.530%；其他收入310,596.86元，占70.340%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天津市交通与物流协会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409,429.79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减少176,716.48元，</w:t>
      </w:r>
      <w:r>
        <w:rPr>
          <w:rFonts w:eastAsia="仿宋_GB2312" w:hint="eastAsia"/>
          <w:sz w:val="30"/>
          <w:szCs w:val="30"/>
        </w:rPr>
        <w:t xml:space="preserve">主要原因是</w:t>
      </w:r>
      <w:r>
        <w:rPr>
          <w:rFonts w:eastAsia="仿宋_GB2312" w:hint="eastAsia"/>
          <w:sz w:val="30"/>
          <w:szCs w:val="30"/>
        </w:rPr>
        <w:t xml:space="preserve">压缩不必要开支，各项支出减少</w:t>
      </w:r>
      <w:r>
        <w:rPr>
          <w:rFonts w:eastAsia="仿宋_GB2312" w:hint="eastAsia"/>
          <w:sz w:val="30"/>
          <w:szCs w:val="30"/>
        </w:rPr>
        <w:t xml:space="preserve">。其中：</w:t>
      </w:r>
      <w:r>
        <w:rPr>
          <w:rFonts w:eastAsia="仿宋_GB2312" w:hint="eastAsia"/>
          <w:sz w:val="30"/>
          <w:szCs w:val="30"/>
        </w:rPr>
        <w:t xml:space="preserve">基本支出409,429.79元，占100.000%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天津市交通与物流协会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5,000.00</w:t>
      </w:r>
      <w:r>
        <w:rPr>
          <w:rFonts w:eastAsia="仿宋_GB2312" w:hint="eastAsia"/>
          <w:sz w:val="30"/>
          <w:szCs w:val="30"/>
        </w:rPr>
        <w:t xml:space="preserve">元。与2023年度相比，财政拨款收、支总计各</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压缩不必要开支，各项支出减少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交通运输支出5,000.00元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天津市交通与物流协会2024年度部门决算一般公共预算财政拨款支出合计5,000.00元，占本年支出合计的1.221%。与2023年度相比，一般公共预算财政拨款支出</w:t>
      </w:r>
      <w:r>
        <w:rPr>
          <w:rFonts w:eastAsia="仿宋_GB2312" w:hint="eastAsia"/>
          <w:sz w:val="30"/>
          <w:szCs w:val="30"/>
        </w:rPr>
        <w:t xml:space="preserve">持平</w:t>
      </w:r>
      <w:r>
        <w:rPr>
          <w:rFonts w:eastAsia="仿宋_GB2312" w:hint="eastAsia"/>
          <w:sz w:val="30"/>
          <w:szCs w:val="30"/>
        </w:rPr>
        <w:t xml:space="preserve">，主要原因是按照预算批复执行。</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2024年度一般公共预算财政拨款支出5,000.00元，主要用于以下方面：</w:t>
      </w:r>
      <w:r>
        <w:rPr>
          <w:rFonts w:eastAsia="仿宋_GB2312" w:hint="eastAsia"/>
          <w:sz w:val="30"/>
          <w:szCs w:val="30"/>
        </w:rPr>
        <w:t xml:space="preserve">交通运输支出（类）支出5,000.00元，占100.000%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2024年度一般公共预算财政拨款支出年初预算为5,000.00元，支出决算为5,000.00元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1.交通运输支出（类）公路水路运输（款）其他公路水路运输支出（项）年初预算为5,000.00元，支出决算为5,000.00元，完成年初预算的100.000%，决算数与预算数持平的主要原因是：按照预算批复执行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天津市交通与物流协会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持平，</w:t>
      </w:r>
      <w:r>
        <w:rPr>
          <w:rFonts w:eastAsia="仿宋_GB2312" w:hint="eastAsia"/>
          <w:sz w:val="30"/>
          <w:szCs w:val="30"/>
        </w:rPr>
        <w:t xml:space="preserve">主要原因是</w:t>
      </w:r>
      <w:r>
        <w:rPr>
          <w:rFonts w:eastAsia="仿宋_GB2312" w:hint="eastAsia"/>
          <w:sz w:val="30"/>
          <w:szCs w:val="30"/>
        </w:rPr>
        <w:t xml:space="preserve">按照预算批复执行</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人员经费5,000.00元，主要包括</w:t>
      </w:r>
      <w:r>
        <w:rPr>
          <w:rFonts w:eastAsia="仿宋_GB2312" w:hint="eastAsia"/>
          <w:sz w:val="30"/>
          <w:szCs w:val="30"/>
        </w:rPr>
        <w:t xml:space="preserve">退休费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天津市交通与物流协会2024年度无政府性基金预算财政拨款收入、支出和结转结余。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天津市交通与物流协会2024年度无国有资本经营预算财政拨款收入、支出和结转结余。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决算数较上年持平的主要原因是本年度与上年度未用财政拨款经费列支“三公”经费。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决算数较上年持平的主要原因是本年度与上年度未用财政拨款经费列支公务用车购置及运行维护费。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决算数较上年持平的主要原因是本年度与上年度未用财政拨款经费列支公务用车运行维护费。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天津市交通与物流协会2024年度无机关运行经费。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天津市交通与物流协会2024年度无政府采购支出。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天津市交通与物流协会2024年度无国有资产占有使用情况。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天津市交通与物流协会2024年度没有项目支出,无需开展绩效自评。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天津市交通与物流协会不属于乡、镇、街级单位,不涉及公开2024年度教育、医疗卫生、社会保障和就业、住房保障、涉农补贴等民生支出情况。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